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Structured Credit Toolkit</w:t>
      </w:r>
    </w:p>
    <w:p>
      <w:r>
        <w:rPr>
          <w:b w:val="0"/>
        </w:rPr>
        <w:t>These checklists belong on a desk, not on a shelf. Copy them into your own notes, add what your team cares about, and cross items off as you go. The chapter that covers each topic in depth is given in its heading.</w:t>
      </w:r>
    </w:p>
    <w:p>
      <w:pPr>
        <w:pStyle w:val="Heading2"/>
      </w:pPr>
      <w:r>
        <w:t>First-Hour Pool Tape Checklist (Chapter 4)</w:t>
      </w:r>
    </w:p>
    <w:p>
      <w:r>
        <w:rPr>
          <w:b w:val="0"/>
        </w:rPr>
        <w:t>1. Tie the tape's total balance and loan count to the term sheet. For Tallis 2025-1, that means $500.0 million and about 22,700 contracts.</w:t>
      </w:r>
    </w:p>
    <w:p>
      <w:r>
        <w:rPr>
          <w:b w:val="0"/>
        </w:rPr>
        <w:t>2. Confirm the cut-off date and the delinquency status at cut-off.</w:t>
      </w:r>
    </w:p>
    <w:p>
      <w:r>
        <w:rPr>
          <w:b w:val="0"/>
        </w:rPr>
        <w:t>3. Look for duplicate loan identifiers, blank fields and impossible values.</w:t>
      </w:r>
    </w:p>
    <w:p>
      <w:r>
        <w:rPr>
          <w:b w:val="0"/>
        </w:rPr>
        <w:t>4. Recompute the weighted average coupon or APR and compare it with the offering document.</w:t>
      </w:r>
    </w:p>
    <w:p>
      <w:r>
        <w:rPr>
          <w:b w:val="0"/>
        </w:rPr>
        <w:t>5. Recompute the weighted average original term, remaining term and seasoning.</w:t>
      </w:r>
    </w:p>
    <w:p>
      <w:r>
        <w:rPr>
          <w:b w:val="0"/>
        </w:rPr>
        <w:t>6. Stratify by credit score and mark the tail below the sponsor's guidelines.</w:t>
      </w:r>
    </w:p>
    <w:p>
      <w:r>
        <w:rPr>
          <w:b w:val="0"/>
        </w:rPr>
        <w:t>7. Stratify by loan-to-value, using original or current values as the documents define them.</w:t>
      </w:r>
    </w:p>
    <w:p>
      <w:r>
        <w:rPr>
          <w:b w:val="0"/>
        </w:rPr>
        <w:t>8. Split the pool by documentation type. For Harborline 2025-NQM1, check the 40, 35 and 25 percent shares.</w:t>
      </w:r>
    </w:p>
    <w:p>
      <w:r>
        <w:rPr>
          <w:b w:val="0"/>
        </w:rPr>
        <w:t>9. Rank the top states and metropolitan areas.</w:t>
      </w:r>
    </w:p>
    <w:p>
      <w:r>
        <w:rPr>
          <w:b w:val="0"/>
        </w:rPr>
        <w:t>10. List the ten largest balances and the largest obligors.</w:t>
      </w:r>
    </w:p>
    <w:p>
      <w:r>
        <w:rPr>
          <w:b w:val="0"/>
        </w:rPr>
        <w:t>11. Check collateral type: new or used vehicle, occupancy, property type, loan industry.</w:t>
      </w:r>
    </w:p>
    <w:p>
      <w:r>
        <w:rPr>
          <w:b w:val="0"/>
        </w:rPr>
        <w:t>12. Flag modified, extended or previously delinquent loans.</w:t>
      </w:r>
    </w:p>
    <w:p>
      <w:r>
        <w:rPr>
          <w:b w:val="0"/>
        </w:rPr>
        <w:t>13. Compare the strats with the sponsor's last two deals.</w:t>
      </w:r>
    </w:p>
    <w:p>
      <w:r>
        <w:rPr>
          <w:b w:val="0"/>
        </w:rPr>
        <w:t>14. Note fields that are missing and that you need from the issuer.</w:t>
      </w:r>
    </w:p>
    <w:p>
      <w:r>
        <w:rPr>
          <w:b w:val="0"/>
        </w:rPr>
        <w:t>15. Write three questions for the issuer before lunch.</w:t>
      </w:r>
    </w:p>
    <w:p>
      <w:pPr>
        <w:pStyle w:val="Heading2"/>
      </w:pPr>
      <w:r>
        <w:t>Offering Document Reading Order (Chapters 1 and 3)</w:t>
      </w:r>
    </w:p>
    <w:p>
      <w:r>
        <w:rPr>
          <w:b w:val="0"/>
        </w:rPr>
        <w:t>1. Cover page and summary of terms.</w:t>
      </w:r>
    </w:p>
    <w:p>
      <w:r>
        <w:rPr>
          <w:b w:val="0"/>
        </w:rPr>
        <w:t>2. Transaction diagram and list of parties.</w:t>
      </w:r>
    </w:p>
    <w:p>
      <w:r>
        <w:rPr>
          <w:b w:val="0"/>
        </w:rPr>
        <w:t>3. Capital structure table: classes, sizes, coupons, ratings, expected lives.</w:t>
      </w:r>
    </w:p>
    <w:p>
      <w:r>
        <w:rPr>
          <w:b w:val="0"/>
        </w:rPr>
        <w:t>4. Priority of payments, read with the definitions section open.</w:t>
      </w:r>
    </w:p>
    <w:p>
      <w:r>
        <w:rPr>
          <w:b w:val="0"/>
        </w:rPr>
        <w:t>5. Credit enhancement: overcollateralization target, reserve account, triggers.</w:t>
      </w:r>
    </w:p>
    <w:p>
      <w:r>
        <w:rPr>
          <w:b w:val="0"/>
        </w:rPr>
        <w:t>6. Collateral description and stratification tables.</w:t>
      </w:r>
    </w:p>
    <w:p>
      <w:r>
        <w:rPr>
          <w:b w:val="0"/>
        </w:rPr>
        <w:t>7. Sponsor's origination and underwriting guidelines.</w:t>
      </w:r>
    </w:p>
    <w:p>
      <w:r>
        <w:rPr>
          <w:b w:val="0"/>
        </w:rPr>
        <w:t>8. Static pool data on prior performance.</w:t>
      </w:r>
    </w:p>
    <w:p>
      <w:r>
        <w:rPr>
          <w:b w:val="0"/>
        </w:rPr>
        <w:t>9. Servicing: fees, advancing, servicer replacement, backup servicer.</w:t>
      </w:r>
    </w:p>
    <w:p>
      <w:r>
        <w:rPr>
          <w:b w:val="0"/>
        </w:rPr>
        <w:t>10. Representations, warranties, repurchase, asset representations reviewer.</w:t>
      </w:r>
    </w:p>
    <w:p>
      <w:r>
        <w:rPr>
          <w:b w:val="0"/>
        </w:rPr>
        <w:t>11. Events of default and what changes after one.</w:t>
      </w:r>
    </w:p>
    <w:p>
      <w:r>
        <w:rPr>
          <w:b w:val="0"/>
        </w:rPr>
        <w:t>12. Risk retention and risk factors specific to the deal. Skim the tax and legal investment sections after that.</w:t>
      </w:r>
    </w:p>
    <w:p>
      <w:pPr>
        <w:pStyle w:val="Heading2"/>
      </w:pPr>
      <w:r>
        <w:t>Waterfall Reading Checklist (Chapter 6)</w:t>
      </w:r>
    </w:p>
    <w:p>
      <w:pPr>
        <w:spacing w:after="60"/>
        <w:ind w:left="240"/>
      </w:pPr>
      <w:r>
        <w:rPr>
          <w:b w:val="0"/>
        </w:rPr>
        <w:t>☐ Is there one waterfall, or separate interest and principal waterfalls?</w:t>
      </w:r>
    </w:p>
    <w:p>
      <w:pPr>
        <w:spacing w:after="60"/>
        <w:ind w:left="240"/>
      </w:pPr>
      <w:r>
        <w:rPr>
          <w:b w:val="0"/>
        </w:rPr>
        <w:t>☐ Which fees and expenses come first, and are any of them capped?</w:t>
      </w:r>
    </w:p>
    <w:p>
      <w:pPr>
        <w:spacing w:after="60"/>
        <w:ind w:left="240"/>
      </w:pPr>
      <w:r>
        <w:rPr>
          <w:b w:val="0"/>
        </w:rPr>
        <w:t>☐ Is interest paid in class order, or are senior classes paid pro rata?</w:t>
      </w:r>
    </w:p>
    <w:p>
      <w:pPr>
        <w:spacing w:after="60"/>
        <w:ind w:left="240"/>
      </w:pPr>
      <w:r>
        <w:rPr>
          <w:b w:val="0"/>
        </w:rPr>
        <w:t>☐ Can any class defer interest, and does deferred interest accrue?</w:t>
      </w:r>
    </w:p>
    <w:p>
      <w:pPr>
        <w:spacing w:after="60"/>
        <w:ind w:left="240"/>
      </w:pPr>
      <w:r>
        <w:rPr>
          <w:b w:val="0"/>
        </w:rPr>
        <w:t>☐ How is principal sized: by collections, by an overcollateralization target, or by both?</w:t>
      </w:r>
    </w:p>
    <w:p>
      <w:pPr>
        <w:spacing w:after="60"/>
        <w:ind w:left="240"/>
      </w:pPr>
      <w:r>
        <w:rPr>
          <w:b w:val="0"/>
        </w:rPr>
        <w:t>☐ Is principal sequential, pro rata, or pro rata until a trigger trips?</w:t>
      </w:r>
    </w:p>
    <w:p>
      <w:pPr>
        <w:spacing w:after="60"/>
        <w:ind w:left="240"/>
      </w:pPr>
      <w:r>
        <w:rPr>
          <w:b w:val="0"/>
        </w:rPr>
        <w:t>☐ What does each trigger test, and is a breach cured or permanent?</w:t>
      </w:r>
    </w:p>
    <w:p>
      <w:pPr>
        <w:spacing w:after="60"/>
        <w:ind w:left="240"/>
      </w:pPr>
      <w:r>
        <w:rPr>
          <w:b w:val="0"/>
        </w:rPr>
        <w:t>☐ When is the reserve account drawn and topped up, and does it decline?</w:t>
      </w:r>
    </w:p>
    <w:p>
      <w:pPr>
        <w:spacing w:after="60"/>
        <w:ind w:left="240"/>
      </w:pPr>
      <w:r>
        <w:rPr>
          <w:b w:val="0"/>
        </w:rPr>
        <w:t>☐ Who receives the residual, and from which step?</w:t>
      </w:r>
    </w:p>
    <w:p>
      <w:pPr>
        <w:spacing w:after="60"/>
        <w:ind w:left="240"/>
      </w:pPr>
      <w:r>
        <w:rPr>
          <w:b w:val="0"/>
        </w:rPr>
        <w:t>☐ Trace one month by hand. Tallis 2025-1 makes a good first exercise.</w:t>
      </w:r>
    </w:p>
    <w:p>
      <w:pPr>
        <w:pStyle w:val="Heading2"/>
      </w:pPr>
      <w:r>
        <w:t>Credit Memo Outline for an ABS or RMBS Tranche (Chapter 13)</w:t>
      </w:r>
    </w:p>
    <w:p>
      <w:pPr>
        <w:spacing w:after="60"/>
        <w:ind w:left="240"/>
      </w:pPr>
      <w:r>
        <w:rPr>
          <w:b w:val="0"/>
        </w:rPr>
        <w:t>☐ Recommendation, size, price and the mandate the bond fits.</w:t>
      </w:r>
    </w:p>
    <w:p>
      <w:pPr>
        <w:spacing w:after="60"/>
        <w:ind w:left="240"/>
      </w:pPr>
      <w:r>
        <w:rPr>
          <w:b w:val="0"/>
        </w:rPr>
        <w:t>☐ Deal summary: sponsor, collateral, class, coupon, rating, weighted average life.</w:t>
      </w:r>
    </w:p>
    <w:p>
      <w:pPr>
        <w:spacing w:after="60"/>
        <w:ind w:left="240"/>
      </w:pPr>
      <w:r>
        <w:rPr>
          <w:b w:val="0"/>
        </w:rPr>
        <w:t>☐ Collateral strengths and weaknesses from the strats.</w:t>
      </w:r>
    </w:p>
    <w:p>
      <w:pPr>
        <w:spacing w:after="60"/>
        <w:ind w:left="240"/>
      </w:pPr>
      <w:r>
        <w:rPr>
          <w:b w:val="0"/>
        </w:rPr>
        <w:t>☐ Sponsor and servicer assessment.</w:t>
      </w:r>
    </w:p>
    <w:p>
      <w:pPr>
        <w:spacing w:after="60"/>
        <w:ind w:left="240"/>
      </w:pPr>
      <w:r>
        <w:rPr>
          <w:b w:val="0"/>
        </w:rPr>
        <w:t>☐ Structure: hard credit enhancement and soft protection. In the case, Class C of Tallis 2025-1 has 10.0 percent hard enhancement.</w:t>
      </w:r>
    </w:p>
    <w:p>
      <w:pPr>
        <w:spacing w:after="60"/>
        <w:ind w:left="240"/>
      </w:pPr>
      <w:r>
        <w:rPr>
          <w:b w:val="0"/>
        </w:rPr>
        <w:t>☐ Base case and the source of each assumption.</w:t>
      </w:r>
    </w:p>
    <w:p>
      <w:pPr>
        <w:spacing w:after="60"/>
        <w:ind w:left="240"/>
      </w:pPr>
      <w:r>
        <w:rPr>
          <w:b w:val="0"/>
        </w:rPr>
        <w:t>☐ Break-even analysis. The Tallis Class C break-even CNL is 21.8 percent, 2.8 times the base CNL.</w:t>
      </w:r>
    </w:p>
    <w:p>
      <w:pPr>
        <w:spacing w:after="60"/>
        <w:ind w:left="240"/>
      </w:pPr>
      <w:r>
        <w:rPr>
          <w:b w:val="0"/>
        </w:rPr>
        <w:t>☐ Sensitivity of the bond's life to prepayment speeds.</w:t>
      </w:r>
    </w:p>
    <w:p>
      <w:pPr>
        <w:spacing w:after="60"/>
        <w:ind w:left="240"/>
      </w:pPr>
      <w:r>
        <w:rPr>
          <w:b w:val="0"/>
        </w:rPr>
        <w:t>☐ Key risks and what would change the view.</w:t>
      </w:r>
    </w:p>
    <w:p>
      <w:pPr>
        <w:spacing w:after="60"/>
        <w:ind w:left="240"/>
      </w:pPr>
      <w:r>
        <w:rPr>
          <w:b w:val="0"/>
        </w:rPr>
        <w:t>☐ Surveillance plan: the metrics to track and the levels that send the bond to the watch list.</w:t>
      </w:r>
    </w:p>
    <w:p>
      <w:pPr>
        <w:pStyle w:val="Heading2"/>
      </w:pPr>
      <w:r>
        <w:t>CLO Manager Due Diligence Questions (Chapters 10 and 11)</w:t>
      </w:r>
    </w:p>
    <w:p>
      <w:r>
        <w:rPr>
          <w:b w:val="0"/>
        </w:rPr>
        <w:t>1. Who makes the investment decisions, and who has final say?</w:t>
      </w:r>
    </w:p>
    <w:p>
      <w:r>
        <w:rPr>
          <w:b w:val="0"/>
        </w:rPr>
        <w:t>2. How long has the team worked together, and who has left?</w:t>
      </w:r>
    </w:p>
    <w:p>
      <w:r>
        <w:rPr>
          <w:b w:val="0"/>
        </w:rPr>
        <w:t>3. How many analysts cover how many obligors?</w:t>
      </w:r>
    </w:p>
    <w:p>
      <w:r>
        <w:rPr>
          <w:b w:val="0"/>
        </w:rPr>
        <w:t>4. What is the credit approval process for a new loan?</w:t>
      </w:r>
    </w:p>
    <w:p>
      <w:r>
        <w:rPr>
          <w:b w:val="0"/>
        </w:rPr>
        <w:t>5. How have past deals performed through stress periods?</w:t>
      </w:r>
    </w:p>
    <w:p>
      <w:r>
        <w:rPr>
          <w:b w:val="0"/>
        </w:rPr>
        <w:t>6. What were realized default and loss rates across prior deals?</w:t>
      </w:r>
    </w:p>
    <w:p>
      <w:r>
        <w:rPr>
          <w:b w:val="0"/>
        </w:rPr>
        <w:t>7. How does the manager handle loans that drift toward CCC?</w:t>
      </w:r>
    </w:p>
    <w:p>
      <w:r>
        <w:rPr>
          <w:b w:val="0"/>
        </w:rPr>
        <w:t>8. What is the trading style: active, buy and hold, or par building?</w:t>
      </w:r>
    </w:p>
    <w:p>
      <w:r>
        <w:rPr>
          <w:b w:val="0"/>
        </w:rPr>
        <w:t>9. How close have prior deals run to their CCC and concentration limits?</w:t>
      </w:r>
    </w:p>
    <w:p>
      <w:r>
        <w:rPr>
          <w:b w:val="0"/>
        </w:rPr>
        <w:t>10. How has the manager responded when an overcollateralization test was near its trigger?</w:t>
      </w:r>
    </w:p>
    <w:p>
      <w:r>
        <w:rPr>
          <w:b w:val="0"/>
        </w:rPr>
        <w:t>11. How much equity does the manager hold in its own deals?</w:t>
      </w:r>
    </w:p>
    <w:p>
      <w:r>
        <w:rPr>
          <w:b w:val="0"/>
        </w:rPr>
        <w:t>12. How are allocations shared across funds and CLOs?</w:t>
      </w:r>
    </w:p>
    <w:p>
      <w:r>
        <w:rPr>
          <w:b w:val="0"/>
        </w:rPr>
        <w:t>13. What is the history of refinancing and reset decisions?</w:t>
      </w:r>
    </w:p>
    <w:p>
      <w:r>
        <w:rPr>
          <w:b w:val="0"/>
        </w:rPr>
        <w:t>14. How do the middle office and the trustee reconcile data?</w:t>
      </w:r>
    </w:p>
    <w:p>
      <w:r>
        <w:rPr>
          <w:b w:val="0"/>
        </w:rPr>
        <w:t>15. What would make the firm stop issuing new CLOs?</w:t>
      </w:r>
    </w:p>
    <w:p>
      <w:pPr>
        <w:pStyle w:val="Heading2"/>
      </w:pPr>
      <w:r>
        <w:t>Monthly Surveillance Checklist (Chapter 14)</w:t>
      </w:r>
    </w:p>
    <w:p>
      <w:pPr>
        <w:spacing w:after="60"/>
        <w:ind w:left="240"/>
      </w:pPr>
      <w:r>
        <w:rPr>
          <w:b w:val="0"/>
        </w:rPr>
        <w:t>☐ Download the servicer and trustee reports on the day they post.</w:t>
      </w:r>
    </w:p>
    <w:p>
      <w:pPr>
        <w:spacing w:after="60"/>
        <w:ind w:left="240"/>
      </w:pPr>
      <w:r>
        <w:rPr>
          <w:b w:val="0"/>
        </w:rPr>
        <w:t>☐ Tie the pool balance and collections to the prior month.</w:t>
      </w:r>
    </w:p>
    <w:p>
      <w:pPr>
        <w:spacing w:after="60"/>
        <w:ind w:left="240"/>
      </w:pPr>
      <w:r>
        <w:rPr>
          <w:b w:val="0"/>
        </w:rPr>
        <w:t>☐ Update delinquencies by bucket, defaults, recoveries and cumulative net loss.</w:t>
      </w:r>
    </w:p>
    <w:p>
      <w:pPr>
        <w:spacing w:after="60"/>
        <w:ind w:left="240"/>
      </w:pPr>
      <w:r>
        <w:rPr>
          <w:b w:val="0"/>
        </w:rPr>
        <w:t>☐ Compare realized losses with the base case at the same month. In September 2026, Tallis 2025-1 showed 6.14 percent against 4.41 percent.</w:t>
      </w:r>
    </w:p>
    <w:p>
      <w:pPr>
        <w:spacing w:after="60"/>
        <w:ind w:left="240"/>
      </w:pPr>
      <w:r>
        <w:rPr>
          <w:b w:val="0"/>
        </w:rPr>
        <w:t>☐ Re-project lifetime loss and compare it with each class's break-even.</w:t>
      </w:r>
    </w:p>
    <w:p>
      <w:pPr>
        <w:spacing w:after="60"/>
        <w:ind w:left="240"/>
      </w:pPr>
      <w:r>
        <w:rPr>
          <w:b w:val="0"/>
        </w:rPr>
        <w:t>☐ Check every trigger, the overcollateralization level and the reserve balance.</w:t>
      </w:r>
    </w:p>
    <w:p>
      <w:pPr>
        <w:spacing w:after="60"/>
        <w:ind w:left="240"/>
      </w:pPr>
      <w:r>
        <w:rPr>
          <w:b w:val="0"/>
        </w:rPr>
        <w:t>☐ For CLOs, track test cushions, the CCC bucket and manager trades.</w:t>
      </w:r>
    </w:p>
    <w:p>
      <w:pPr>
        <w:spacing w:after="60"/>
        <w:ind w:left="240"/>
      </w:pPr>
      <w:r>
        <w:rPr>
          <w:b w:val="0"/>
        </w:rPr>
        <w:t>☐ For RMBS, compare prepayment speeds with the pricing speed and record modifications.</w:t>
      </w:r>
    </w:p>
    <w:p>
      <w:pPr>
        <w:spacing w:after="60"/>
        <w:ind w:left="240"/>
      </w:pPr>
      <w:r>
        <w:rPr>
          <w:b w:val="0"/>
        </w:rPr>
        <w:t>☐ Update the watch list and write two lines for the portfolio manager.</w:t>
      </w:r>
    </w:p>
    <w:p>
      <w:pPr>
        <w:pStyle w:val="Heading2"/>
      </w:pPr>
      <w:r>
        <w:t>Pricing Day Checklist for the Arranger's Analyst (Chapter 12)</w:t>
      </w:r>
    </w:p>
    <w:p>
      <w:pPr>
        <w:spacing w:after="60"/>
        <w:ind w:left="240"/>
      </w:pPr>
      <w:r>
        <w:rPr>
          <w:b w:val="0"/>
        </w:rPr>
        <w:t>☐ Confirm that the final collateral data matches the model inputs.</w:t>
      </w:r>
    </w:p>
    <w:p>
      <w:pPr>
        <w:spacing w:after="60"/>
        <w:ind w:left="240"/>
      </w:pPr>
      <w:r>
        <w:rPr>
          <w:b w:val="0"/>
        </w:rPr>
        <w:t>☐ Rerun the structuring model at the final class sizes and print the cash flows.</w:t>
      </w:r>
    </w:p>
    <w:p>
      <w:pPr>
        <w:spacing w:after="60"/>
        <w:ind w:left="240"/>
      </w:pPr>
      <w:r>
        <w:rPr>
          <w:b w:val="0"/>
        </w:rPr>
        <w:t>☐ Check that the rating agencies' sizing still holds for every class.</w:t>
      </w:r>
    </w:p>
    <w:p>
      <w:pPr>
        <w:spacing w:after="60"/>
        <w:ind w:left="240"/>
      </w:pPr>
      <w:r>
        <w:rPr>
          <w:b w:val="0"/>
        </w:rPr>
        <w:t>☐ Under Regulation AB II, adopted in August 2014, a public deal needs a preliminary prospectus at least three business days before the first sale. Confirm the dates.</w:t>
      </w:r>
    </w:p>
    <w:p>
      <w:pPr>
        <w:spacing w:after="60"/>
        <w:ind w:left="240"/>
      </w:pPr>
      <w:r>
        <w:rPr>
          <w:b w:val="0"/>
        </w:rPr>
        <w:t>☐ Keep the order book file current for the syndicate desk.</w:t>
      </w:r>
    </w:p>
    <w:p>
      <w:pPr>
        <w:spacing w:after="60"/>
        <w:ind w:left="240"/>
      </w:pPr>
      <w:r>
        <w:rPr>
          <w:b w:val="0"/>
        </w:rPr>
        <w:t>☐ Prepare the yield and weighted average life tables at the pricing speed.</w:t>
      </w:r>
    </w:p>
    <w:p>
      <w:pPr>
        <w:spacing w:after="60"/>
        <w:ind w:left="240"/>
      </w:pPr>
      <w:r>
        <w:rPr>
          <w:b w:val="0"/>
        </w:rPr>
        <w:t>☐ Check the Rule 192 conflicts process with compliance. It applies to deals whose first closing is on or after 9 June 2025.</w:t>
      </w:r>
    </w:p>
    <w:p>
      <w:pPr>
        <w:spacing w:after="60"/>
        <w:ind w:left="240"/>
      </w:pPr>
      <w:r>
        <w:rPr>
          <w:b w:val="0"/>
        </w:rPr>
        <w:t>☐ Check every number in the final term sheet against the model, then send it.</w:t>
      </w:r>
    </w:p>
    <w:p>
      <w:r>
        <w:t>Julian R. Sterling, The Structured Credit Analyst. A working aid, not legal, tax, accounting or investment advice.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Structured Credit Analyst: The Structured Credit Toolkit</dc:title>
  <dc:subject/>
  <dc:creator>Julian R. Sterling</dc:creator>
  <cp:keywords/>
  <dc:description>generated by python-docx</dc:description>
  <cp:lastModifiedBy/>
  <cp:revision>1</cp:revision>
  <dcterms:created xsi:type="dcterms:W3CDTF">2013-12-23T23:15:00Z</dcterms:created>
  <dcterms:modified xsi:type="dcterms:W3CDTF">2013-12-23T23:15:00Z</dcterms:modified>
  <cp:category/>
  <dc:language>en-US</dc:language>
</cp:coreProperties>
</file>