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Underwriter's Toolkit</w:t>
      </w:r>
    </w:p>
    <w:p>
      <w:r>
        <w:rPr>
          <w:b w:val="0"/>
        </w:rPr>
        <w:t>These lists are working tools. Keep them open beside the file, not in a drawer. They describe guideline thresholds in words unless the book has dated them elsewhere. Guides change often, so the current selling guide, the investor's guide and the compliance team always govern.</w:t>
      </w:r>
    </w:p>
    <w:p>
      <w:pPr>
        <w:pStyle w:val="Heading2"/>
      </w:pPr>
      <w:r>
        <w:t>First-read checklist</w:t>
      </w:r>
    </w:p>
    <w:p>
      <w:r>
        <w:rPr>
          <w:b w:val="0"/>
        </w:rPr>
        <w:t>1. Loan purpose, occupancy and property type agree across the application, the purchase contract and the findings.</w:t>
      </w:r>
    </w:p>
    <w:p>
      <w:r>
        <w:rPr>
          <w:b w:val="0"/>
        </w:rPr>
        <w:t>2. Recompute the loan-to-value ratio (LTV) yourself from the price, the value and the loan amount.</w:t>
      </w:r>
    </w:p>
    <w:p>
      <w:r>
        <w:rPr>
          <w:b w:val="0"/>
        </w:rPr>
        <w:t>3. The automated underwriting system (AUS) findings belong to the latest submission, and their data matches the file.</w:t>
      </w:r>
    </w:p>
    <w:p>
      <w:r>
        <w:rPr>
          <w:b w:val="0"/>
        </w:rPr>
        <w:t>4. Every borrower on the note has income, assets and credit in the file.</w:t>
      </w:r>
    </w:p>
    <w:p>
      <w:r>
        <w:rPr>
          <w:b w:val="0"/>
        </w:rPr>
        <w:t>5. The employment history covers the period the guide requires, and any gap has an explanation.</w:t>
      </w:r>
    </w:p>
    <w:p>
      <w:r>
        <w:rPr>
          <w:b w:val="0"/>
        </w:rPr>
        <w:t>6. Each income type is identified: salaried, hourly, variable, self-employed or other.</w:t>
      </w:r>
    </w:p>
    <w:p>
      <w:r>
        <w:rPr>
          <w:b w:val="0"/>
        </w:rPr>
        <w:t>7. Every debt on the credit report is either in the debt-to-income ratio (DTI) or excluded for a documented reason.</w:t>
      </w:r>
    </w:p>
    <w:p>
      <w:r>
        <w:rPr>
          <w:b w:val="0"/>
        </w:rPr>
        <w:t>8. Funds to close add up: down payment, closing costs and prepaids, less earnest money already paid.</w:t>
      </w:r>
    </w:p>
    <w:p>
      <w:r>
        <w:rPr>
          <w:b w:val="0"/>
        </w:rPr>
        <w:t>9. The reserves the findings require are visible in verified accounts.</w:t>
      </w:r>
    </w:p>
    <w:p>
      <w:r>
        <w:rPr>
          <w:b w:val="0"/>
        </w:rPr>
        <w:t>10. The purchase contract is fully signed, with every addendum, concession and contingency date.</w:t>
      </w:r>
    </w:p>
    <w:p>
      <w:r>
        <w:rPr>
          <w:b w:val="0"/>
        </w:rPr>
        <w:t>11. Count the layers of risk: high LTV, high DTI, thin reserves, variable income, recent credit events.</w:t>
      </w:r>
    </w:p>
    <w:p>
      <w:r>
        <w:rPr>
          <w:b w:val="0"/>
        </w:rPr>
        <w:t>12. Write the story of the file in two sentences before you write a single condition.</w:t>
      </w:r>
    </w:p>
    <w:p>
      <w:pPr>
        <w:pStyle w:val="Heading2"/>
      </w:pPr>
      <w:r>
        <w:t>Income documentation by type</w:t>
      </w:r>
    </w:p>
    <w:p>
      <w:pPr>
        <w:pStyle w:val="Heading3"/>
      </w:pPr>
      <w:r>
        <w:t>Salaried</w:t>
      </w:r>
    </w:p>
    <w:p>
      <w:pPr>
        <w:spacing w:after="60"/>
        <w:ind w:left="240"/>
      </w:pPr>
      <w:r>
        <w:rPr>
          <w:b w:val="0"/>
        </w:rPr>
        <w:t>☐ Recent pay stubs showing year-to-date earnings.</w:t>
      </w:r>
    </w:p>
    <w:p>
      <w:pPr>
        <w:spacing w:after="60"/>
        <w:ind w:left="240"/>
      </w:pPr>
      <w:r>
        <w:rPr>
          <w:b w:val="0"/>
        </w:rPr>
        <w:t>☐ W-2s for the years the guide requires.</w:t>
      </w:r>
    </w:p>
    <w:p>
      <w:pPr>
        <w:spacing w:after="60"/>
        <w:ind w:left="240"/>
      </w:pPr>
      <w:r>
        <w:rPr>
          <w:b w:val="0"/>
        </w:rPr>
        <w:t>☐ A written or electronic verification of employment (VOE) where the guide allows it.</w:t>
      </w:r>
    </w:p>
    <w:p>
      <w:pPr>
        <w:spacing w:after="60"/>
        <w:ind w:left="240"/>
      </w:pPr>
      <w:r>
        <w:rPr>
          <w:b w:val="0"/>
        </w:rPr>
        <w:t>☐ A verbal VOE inside the guide's window before closing (as of 2026, Fannie Mae's Selling Guide B3-3.1-07 requires it no more than 10 business days before the note date, and Brightwater's policy repeats that window; in the case, within ten business days of closing).</w:t>
      </w:r>
    </w:p>
    <w:p>
      <w:pPr>
        <w:spacing w:after="60"/>
        <w:ind w:left="240"/>
      </w:pPr>
      <w:r>
        <w:rPr>
          <w:b w:val="0"/>
        </w:rPr>
        <w:t>☐ Year-to-date earnings that match the stated base pay.</w:t>
      </w:r>
    </w:p>
    <w:p>
      <w:pPr>
        <w:pStyle w:val="Heading3"/>
      </w:pPr>
      <w:r>
        <w:t>Hourly</w:t>
      </w:r>
    </w:p>
    <w:p>
      <w:pPr>
        <w:spacing w:after="60"/>
        <w:ind w:left="240"/>
      </w:pPr>
      <w:r>
        <w:rPr>
          <w:b w:val="0"/>
        </w:rPr>
        <w:t>☐ Pay stubs showing the hourly rate and the hours worked.</w:t>
      </w:r>
    </w:p>
    <w:p>
      <w:pPr>
        <w:spacing w:after="60"/>
        <w:ind w:left="240"/>
      </w:pPr>
      <w:r>
        <w:rPr>
          <w:b w:val="0"/>
        </w:rPr>
        <w:t>☐ Enough history to show the hours are stable.</w:t>
      </w:r>
    </w:p>
    <w:p>
      <w:pPr>
        <w:spacing w:after="60"/>
        <w:ind w:left="240"/>
      </w:pPr>
      <w:r>
        <w:rPr>
          <w:b w:val="0"/>
        </w:rPr>
        <w:t>☐ Overtime separated from base pay, with its own history and the employer's comment on whether it will continue.</w:t>
      </w:r>
    </w:p>
    <w:p>
      <w:pPr>
        <w:spacing w:after="60"/>
        <w:ind w:left="240"/>
      </w:pPr>
      <w:r>
        <w:rPr>
          <w:b w:val="0"/>
        </w:rPr>
        <w:t>☐ An average when hours vary, and the lower figure when they are falling.</w:t>
      </w:r>
    </w:p>
    <w:p>
      <w:pPr>
        <w:pStyle w:val="Heading3"/>
      </w:pPr>
      <w:r>
        <w:t>Bonus or commission</w:t>
      </w:r>
    </w:p>
    <w:p>
      <w:pPr>
        <w:spacing w:after="60"/>
        <w:ind w:left="240"/>
      </w:pPr>
      <w:r>
        <w:rPr>
          <w:b w:val="0"/>
        </w:rPr>
        <w:t>☐ The history the guide requires, from W-2s or the verification (the case used $6,000 for 2024 and $9,000 for 2025).</w:t>
      </w:r>
    </w:p>
    <w:p>
      <w:pPr>
        <w:spacing w:after="60"/>
        <w:ind w:left="240"/>
      </w:pPr>
      <w:r>
        <w:rPr>
          <w:b w:val="0"/>
        </w:rPr>
        <w:t>☐ The year-to-date figure compared with prior years to read the trend.</w:t>
      </w:r>
    </w:p>
    <w:p>
      <w:pPr>
        <w:spacing w:after="60"/>
        <w:ind w:left="240"/>
      </w:pPr>
      <w:r>
        <w:rPr>
          <w:b w:val="0"/>
        </w:rPr>
        <w:t>☐ The employer's statement that the income is likely to continue.</w:t>
      </w:r>
    </w:p>
    <w:p>
      <w:pPr>
        <w:spacing w:after="60"/>
        <w:ind w:left="240"/>
      </w:pPr>
      <w:r>
        <w:rPr>
          <w:b w:val="0"/>
        </w:rPr>
        <w:t>☐ An average over the full history, never the best year alone (chapter 4 shows the loan officer's error).</w:t>
      </w:r>
    </w:p>
    <w:p>
      <w:pPr>
        <w:spacing w:after="60"/>
        <w:ind w:left="240"/>
      </w:pPr>
      <w:r>
        <w:rPr>
          <w:b w:val="0"/>
        </w:rPr>
        <w:t>☐ For commission earners, Fannie Mae (since December 2018) and Freddie Mac (since February 2019) no longer require unreimbursed business expenses to be subtracted from commission income. A private investor's guide may still require it, so read the guide that applies to the loan.</w:t>
      </w:r>
    </w:p>
    <w:p>
      <w:pPr>
        <w:pStyle w:val="Heading3"/>
      </w:pPr>
      <w:r>
        <w:t>Self-employed</w:t>
      </w:r>
    </w:p>
    <w:p>
      <w:pPr>
        <w:spacing w:after="60"/>
        <w:ind w:left="240"/>
      </w:pPr>
      <w:r>
        <w:rPr>
          <w:b w:val="0"/>
        </w:rPr>
        <w:t>☐ Signed personal tax returns with all schedules.</w:t>
      </w:r>
    </w:p>
    <w:p>
      <w:pPr>
        <w:spacing w:after="60"/>
        <w:ind w:left="240"/>
      </w:pPr>
      <w:r>
        <w:rPr>
          <w:b w:val="0"/>
        </w:rPr>
        <w:t>☐ Business returns when the borrower's ownership share brings them into scope under the guide.</w:t>
      </w:r>
    </w:p>
    <w:p>
      <w:pPr>
        <w:spacing w:after="60"/>
        <w:ind w:left="240"/>
      </w:pPr>
      <w:r>
        <w:rPr>
          <w:b w:val="0"/>
        </w:rPr>
        <w:t>☐ Internal Revenue Service (IRS) tax transcripts for every year you use.</w:t>
      </w:r>
    </w:p>
    <w:p>
      <w:pPr>
        <w:spacing w:after="60"/>
        <w:ind w:left="240"/>
      </w:pPr>
      <w:r>
        <w:rPr>
          <w:b w:val="0"/>
        </w:rPr>
        <w:t>☐ A year-to-date profit and loss statement where the guide or the trend calls for one.</w:t>
      </w:r>
    </w:p>
    <w:p>
      <w:pPr>
        <w:spacing w:after="60"/>
        <w:ind w:left="240"/>
      </w:pPr>
      <w:r>
        <w:rPr>
          <w:b w:val="0"/>
        </w:rPr>
        <w:t>☐ Third-party evidence that the business exists and is active, inside the guide's window (as of 2026, Fannie Mae allows no more than 120 calendar days before the note date).</w:t>
      </w:r>
    </w:p>
    <w:p>
      <w:pPr>
        <w:spacing w:after="60"/>
        <w:ind w:left="240"/>
      </w:pPr>
      <w:r>
        <w:rPr>
          <w:b w:val="0"/>
        </w:rPr>
        <w:t>☐ A letter explaining any material change in income.</w:t>
      </w:r>
    </w:p>
    <w:p>
      <w:pPr>
        <w:pStyle w:val="Heading2"/>
      </w:pPr>
      <w:r>
        <w:t>Self-employed income worksheet: ten steps</w:t>
      </w:r>
    </w:p>
    <w:p>
      <w:r>
        <w:rPr>
          <w:b w:val="0"/>
        </w:rPr>
        <w:t>1. Confirm the business structure and the ownership share, then choose the right form: Schedule C, K-1 or the business return.</w:t>
      </w:r>
    </w:p>
    <w:p>
      <w:r>
        <w:rPr>
          <w:b w:val="0"/>
        </w:rPr>
        <w:t>2. Match each return to its IRS transcript before you use a single line.</w:t>
      </w:r>
    </w:p>
    <w:p>
      <w:r>
        <w:rPr>
          <w:b w:val="0"/>
        </w:rPr>
        <w:t>3. Enter net profit for each year.</w:t>
      </w:r>
    </w:p>
    <w:p>
      <w:r>
        <w:rPr>
          <w:b w:val="0"/>
        </w:rPr>
        <w:t>4. Add back the non-cash items the guide allows, such as depreciation.</w:t>
      </w:r>
    </w:p>
    <w:p>
      <w:r>
        <w:rPr>
          <w:b w:val="0"/>
        </w:rPr>
        <w:t>5. Subtract nonrecurring income and any item the guide tells you to deduct.</w:t>
      </w:r>
    </w:p>
    <w:p>
      <w:r>
        <w:rPr>
          <w:b w:val="0"/>
        </w:rPr>
        <w:t>6. Arrive at adjusted income for each year (in the case, $52,000 and $46,000).</w:t>
      </w:r>
    </w:p>
    <w:p>
      <w:r>
        <w:rPr>
          <w:b w:val="0"/>
        </w:rPr>
        <w:t>7. Name the trend: stable, rising or declining.</w:t>
      </w:r>
    </w:p>
    <w:p>
      <w:r>
        <w:rPr>
          <w:b w:val="0"/>
        </w:rPr>
        <w:t>8. If income is declining, use the lower, more recent year, or decline to use the income if the drop is steep or still going on. The case used $46,000 / 12 = $3,833 a month, not the two-year average of $4,083.</w:t>
      </w:r>
    </w:p>
    <w:p>
      <w:r>
        <w:rPr>
          <w:b w:val="0"/>
        </w:rPr>
        <w:t>9. Check that the year-to-date profit and loss statement supports the figure. Ask for a letter when it does not.</w:t>
      </w:r>
    </w:p>
    <w:p>
      <w:r>
        <w:rPr>
          <w:b w:val="0"/>
        </w:rPr>
        <w:t>10. Write the calculation in the file notes, line by line with sources, so quality control can rebuild it.</w:t>
      </w:r>
    </w:p>
    <w:p>
      <w:pPr>
        <w:pStyle w:val="Heading2"/>
      </w:pPr>
      <w:r>
        <w:t>Asset checklist</w:t>
      </w:r>
    </w:p>
    <w:p>
      <w:r>
        <w:rPr>
          <w:b w:val="0"/>
        </w:rPr>
        <w:t>1. Statements for the most recent period (Fannie Mae's guide, version dated 14 December 2022, notes that bank statements typically cover the most recent two months).</w:t>
      </w:r>
    </w:p>
    <w:p>
      <w:r>
        <w:rPr>
          <w:b w:val="0"/>
        </w:rPr>
        <w:t>2. Each statement shows the borrower's name, the institution, the account number and the period.</w:t>
      </w:r>
    </w:p>
    <w:p>
      <w:r>
        <w:rPr>
          <w:b w:val="0"/>
        </w:rPr>
        <w:t>3. Every page is present, including the pages that look blank.</w:t>
      </w:r>
    </w:p>
    <w:p>
      <w:r>
        <w:rPr>
          <w:b w:val="0"/>
        </w:rPr>
        <w:t>4. Balances agree with the figures sent to the AUS.</w:t>
      </w:r>
    </w:p>
    <w:p>
      <w:r>
        <w:rPr>
          <w:b w:val="0"/>
        </w:rPr>
        <w:t>5. The earnest money cleared from a borrower's account and shows on a statement.</w:t>
      </w:r>
    </w:p>
    <w:p>
      <w:r>
        <w:rPr>
          <w:b w:val="0"/>
        </w:rPr>
        <w:t>6. Every large deposit is sourced. For a purchase, Fannie Mae defines one as a single deposit above 50 percent of total monthly qualifying income (in the case, $6,129).</w:t>
      </w:r>
    </w:p>
    <w:p>
      <w:r>
        <w:rPr>
          <w:b w:val="0"/>
        </w:rPr>
        <w:t>7. Any unsourced amount is subtracted, and you confirm that what remains is still enough (in the case, $900 of liquid funds would have been left against $7,524 required, and the reserves would have rested entirely on Owen's vested 401(k), which is why it was documented in advance).</w:t>
      </w:r>
    </w:p>
    <w:p>
      <w:r>
        <w:rPr>
          <w:b w:val="0"/>
        </w:rPr>
        <w:t>8. The gift letter is signed by the donor (some lenders also require the borrowers' signature) and states the amount, the relationship, the property and that no repayment is expected.</w:t>
      </w:r>
    </w:p>
    <w:p>
      <w:r>
        <w:rPr>
          <w:b w:val="0"/>
        </w:rPr>
        <w:t>9. The donor's ability to give and the transfer are documented, including the account the money came from. That was the gap quality control found in the case.</w:t>
      </w:r>
    </w:p>
    <w:p>
      <w:r>
        <w:rPr>
          <w:b w:val="0"/>
        </w:rPr>
        <w:t>10. For retirement accounts: the vested balance, the withdrawal terms and the guide's treatment of taxes and penalties.</w:t>
      </w:r>
    </w:p>
    <w:p>
      <w:r>
        <w:rPr>
          <w:b w:val="0"/>
        </w:rPr>
        <w:t>11. For sale proceeds: a settlement statement, or a bill of sale with the title transfer.</w:t>
      </w:r>
    </w:p>
    <w:p>
      <w:r>
        <w:rPr>
          <w:b w:val="0"/>
        </w:rPr>
        <w:t>12. Recalculate reserves after every change to the payment.</w:t>
      </w:r>
    </w:p>
    <w:p>
      <w:pPr>
        <w:pStyle w:val="Heading2"/>
      </w:pPr>
      <w:r>
        <w:t>Credit report review checklist</w:t>
      </w:r>
    </w:p>
    <w:p>
      <w:r>
        <w:rPr>
          <w:b w:val="0"/>
        </w:rPr>
        <w:t>1. A tri-merge report covering every borrower, within the guide's age limit.</w:t>
      </w:r>
    </w:p>
    <w:p>
      <w:r>
        <w:rPr>
          <w:b w:val="0"/>
        </w:rPr>
        <w:t>2. Names, Social Security numbers and addresses match the application. Fraud alerts have been addressed.</w:t>
      </w:r>
    </w:p>
    <w:p>
      <w:r>
        <w:rPr>
          <w:b w:val="0"/>
        </w:rPr>
        <w:t>3. Find each borrower's middle score and the score the program uses (in the case, as under Fannie Mae's pricing rules, the lower middle score, 701, sets pricing, while Desktop Underwriter eligibility uses the average of the borrowers' median scores).</w:t>
      </w:r>
    </w:p>
    <w:p>
      <w:r>
        <w:rPr>
          <w:b w:val="0"/>
        </w:rPr>
        <w:t>4. Record the score model used for the loan. Since July 2025, agency loans use one model per loan: Classic FICO or VantageScore 4.0.</w:t>
      </w:r>
    </w:p>
    <w:p>
      <w:r>
        <w:rPr>
          <w:b w:val="0"/>
        </w:rPr>
        <w:t>5. Every tradeline is in the DTI or excluded with documentation.</w:t>
      </w:r>
    </w:p>
    <w:p>
      <w:r>
        <w:rPr>
          <w:b w:val="0"/>
        </w:rPr>
        <w:t>6. Installment debts nearing payoff follow the guide's rule. In the case the auto loan, with 14 payments left, counted.</w:t>
      </w:r>
    </w:p>
    <w:p>
      <w:r>
        <w:rPr>
          <w:b w:val="0"/>
        </w:rPr>
        <w:t>7. For each late payment: the date, the severity, how recent it is and whether it fits a pattern.</w:t>
      </w:r>
    </w:p>
    <w:p>
      <w:r>
        <w:rPr>
          <w:b w:val="0"/>
        </w:rPr>
        <w:t>8. Collections, charge-offs, judgments and liens follow the guide's treatment and any payoff requirement.</w:t>
      </w:r>
    </w:p>
    <w:p>
      <w:r>
        <w:rPr>
          <w:b w:val="0"/>
        </w:rPr>
        <w:t>9. Bankruptcy, foreclosure or short sale dates are measured against the guide's waiting periods.</w:t>
      </w:r>
    </w:p>
    <w:p>
      <w:r>
        <w:rPr>
          <w:b w:val="0"/>
        </w:rPr>
        <w:t>10. Recent inquiries are explained, and any new account they opened is identified.</w:t>
      </w:r>
    </w:p>
    <w:p>
      <w:r>
        <w:rPr>
          <w:b w:val="0"/>
        </w:rPr>
        <w:t>11. Authorized-user and disputed accounts are handled as the guide directs.</w:t>
      </w:r>
    </w:p>
    <w:p>
      <w:r>
        <w:rPr>
          <w:b w:val="0"/>
        </w:rPr>
        <w:t>12. Letters of explanation are specific, dated, signed and consistent with the report.</w:t>
      </w:r>
    </w:p>
    <w:p>
      <w:pPr>
        <w:pStyle w:val="Heading2"/>
      </w:pPr>
      <w:r>
        <w:t>Appraisal review checklist</w:t>
      </w:r>
    </w:p>
    <w:p>
      <w:r>
        <w:rPr>
          <w:b w:val="0"/>
        </w:rPr>
        <w:t>1. The appraiser holds a license in the state and was engaged through an independent channel, such as the appraisal management company.</w:t>
      </w:r>
    </w:p>
    <w:p>
      <w:r>
        <w:rPr>
          <w:b w:val="0"/>
        </w:rPr>
        <w:t>2. The form, the lender, the borrower, the address and the legal description are correct.</w:t>
      </w:r>
    </w:p>
    <w:p>
      <w:r>
        <w:rPr>
          <w:b w:val="0"/>
        </w:rPr>
        <w:t>3. The appraiser reviewed the contract, and the price and concessions match it.</w:t>
      </w:r>
    </w:p>
    <w:p>
      <w:r>
        <w:rPr>
          <w:b w:val="0"/>
        </w:rPr>
        <w:t>4. Occupancy and property type match the loan.</w:t>
      </w:r>
    </w:p>
    <w:p>
      <w:r>
        <w:rPr>
          <w:b w:val="0"/>
        </w:rPr>
        <w:t>5. The subject is described in full: living area, rooms, basement, site and legal zoning.</w:t>
      </w:r>
    </w:p>
    <w:p>
      <w:r>
        <w:rPr>
          <w:b w:val="0"/>
        </w:rPr>
        <w:t>6. The condition and quality ratings are supported by the photographs.</w:t>
      </w:r>
    </w:p>
    <w:p>
      <w:r>
        <w:rPr>
          <w:b w:val="0"/>
        </w:rPr>
        <w:t>7. Health and safety items and required repairs are flagged, and any "subject to" value has a completion condition.</w:t>
      </w:r>
    </w:p>
    <w:p>
      <w:r>
        <w:rPr>
          <w:b w:val="0"/>
        </w:rPr>
        <w:t>8. The comparables are recent, close and similar, with listings included when the market is shifting.</w:t>
      </w:r>
    </w:p>
    <w:p>
      <w:r>
        <w:rPr>
          <w:b w:val="0"/>
        </w:rPr>
        <w:t>9. Adjustments are reasonable, consistent across comparables and explained.</w:t>
      </w:r>
    </w:p>
    <w:p>
      <w:r>
        <w:rPr>
          <w:b w:val="0"/>
        </w:rPr>
        <w:t>10. The final value falls within the adjusted range, and the reconciliation says why each comparable got its weight.</w:t>
      </w:r>
    </w:p>
    <w:p>
      <w:r>
        <w:rPr>
          <w:b w:val="0"/>
        </w:rPr>
        <w:t>11. Market conditions are addressed, including declining values and marketing time.</w:t>
      </w:r>
    </w:p>
    <w:p>
      <w:r>
        <w:rPr>
          <w:b w:val="0"/>
        </w:rPr>
        <w:t>12. The Collateral Underwriter score and its messages have been reviewed and answered.</w:t>
      </w:r>
    </w:p>
    <w:p>
      <w:r>
        <w:rPr>
          <w:b w:val="0"/>
        </w:rPr>
        <w:t>13. Prior sales of the subject and the comparables are explained, with quick resales noted.</w:t>
      </w:r>
    </w:p>
    <w:p>
      <w:r>
        <w:rPr>
          <w:b w:val="0"/>
        </w:rPr>
        <w:t>14. A value below the price means LTV must be recomputed (in the case, 91.3 percent on the lower value before the price change).</w:t>
      </w:r>
    </w:p>
    <w:p>
      <w:r>
        <w:rPr>
          <w:b w:val="0"/>
        </w:rPr>
        <w:t>15. Form version: the redesigned report under UAD 3.6 is scheduled to become mandatory for new submissions on 2 November 2026. Approved sellers granted the one-time exception announced on 30 September 2026 may submit legacy forms until 19 May 2027, and UAD 3.6 is scheduled to become mandatory for all new submissions on 20 May 2027.</w:t>
      </w:r>
    </w:p>
    <w:p>
      <w:pPr>
        <w:pStyle w:val="Heading2"/>
      </w:pPr>
      <w:r>
        <w:t>Condition-writing rules</w:t>
      </w:r>
    </w:p>
    <w:p>
      <w:r>
        <w:rPr>
          <w:b w:val="0"/>
        </w:rPr>
        <w:t>1. One condition, one requirement.</w:t>
      </w:r>
    </w:p>
    <w:p>
      <w:r>
        <w:rPr>
          <w:b w:val="0"/>
        </w:rPr>
        <w:t>2. Name the document, the borrower and the period it must cover.</w:t>
      </w:r>
    </w:p>
    <w:p>
      <w:r>
        <w:rPr>
          <w:b w:val="0"/>
        </w:rPr>
        <w:t>3. Give the reason when it is not obvious.</w:t>
      </w:r>
    </w:p>
    <w:p>
      <w:r>
        <w:rPr>
          <w:b w:val="0"/>
        </w:rPr>
        <w:t>4. Say exactly what will clear it.</w:t>
      </w:r>
    </w:p>
    <w:p>
      <w:r>
        <w:rPr>
          <w:b w:val="0"/>
        </w:rPr>
        <w:t>5. Put it in the right timing category: prior to documents, prior to closing or prior to funding.</w:t>
      </w:r>
    </w:p>
    <w:p>
      <w:r>
        <w:rPr>
          <w:b w:val="0"/>
        </w:rPr>
        <w:t>6. Never ask for a document that is already in the file.</w:t>
      </w:r>
    </w:p>
    <w:p>
      <w:r>
        <w:rPr>
          <w:b w:val="0"/>
        </w:rPr>
        <w:t>7. Label an overlay or a judgment call as such, and do not present it as the agency's rule.</w:t>
      </w:r>
    </w:p>
    <w:p>
      <w:r>
        <w:rPr>
          <w:b w:val="0"/>
        </w:rPr>
        <w:t>8. When you clear a condition, record in writing what you received and what you checked.</w:t>
      </w:r>
    </w:p>
    <w:p>
      <w:pPr>
        <w:pStyle w:val="Heading2"/>
      </w:pPr>
      <w:r>
        <w:t>Pre-closing checklist</w:t>
      </w:r>
    </w:p>
    <w:p>
      <w:pPr>
        <w:spacing w:after="60"/>
        <w:ind w:left="240"/>
      </w:pPr>
      <w:r>
        <w:rPr>
          <w:b w:val="0"/>
        </w:rPr>
        <w:t>☐ Refresh credit or review undisclosed-debt monitoring for new accounts, inquiries and balances. In the case, the refresh found a furniture account opened on 7 March 2026 with a payment of $180 a month.</w:t>
      </w:r>
    </w:p>
    <w:p>
      <w:pPr>
        <w:spacing w:after="60"/>
        <w:ind w:left="240"/>
      </w:pPr>
      <w:r>
        <w:rPr>
          <w:b w:val="0"/>
        </w:rPr>
        <w:t>☐ For any new debt: get a letter of explanation and a statement, recalculate the DTI, resubmit to the AUS and recheck reserves.</w:t>
      </w:r>
    </w:p>
    <w:p>
      <w:pPr>
        <w:spacing w:after="60"/>
        <w:ind w:left="240"/>
      </w:pPr>
      <w:r>
        <w:rPr>
          <w:b w:val="0"/>
        </w:rPr>
        <w:t>☐ Complete the verbal VOE inside the guide's window (for Fannie Mae, as of 2026, no more than 10 business days before the note date). Record the date, the name and title of the person you spoke to, and a phone number sourced independently of the borrower.</w:t>
      </w:r>
    </w:p>
    <w:p>
      <w:pPr>
        <w:spacing w:after="60"/>
        <w:ind w:left="240"/>
      </w:pPr>
      <w:r>
        <w:rPr>
          <w:b w:val="0"/>
        </w:rPr>
        <w:t>☐ Confirm that income, employment and occupancy have not changed.</w:t>
      </w:r>
    </w:p>
    <w:p>
      <w:pPr>
        <w:spacing w:after="60"/>
        <w:ind w:left="240"/>
      </w:pPr>
      <w:r>
        <w:rPr>
          <w:b w:val="0"/>
        </w:rPr>
        <w:t>☐ The Closing Disclosure must reach the borrower at least three business days before consummation. An APR increase beyond tolerance, a change of loan product or an added prepayment penalty starts a new waiting period.</w:t>
      </w:r>
    </w:p>
    <w:p>
      <w:pPr>
        <w:spacing w:after="60"/>
        <w:ind w:left="240"/>
      </w:pPr>
      <w:r>
        <w:rPr>
          <w:b w:val="0"/>
        </w:rPr>
        <w:t>☐ The rate lock covers the closing date.</w:t>
      </w:r>
    </w:p>
    <w:p>
      <w:pPr>
        <w:spacing w:after="60"/>
        <w:ind w:left="240"/>
      </w:pPr>
      <w:r>
        <w:rPr>
          <w:b w:val="0"/>
        </w:rPr>
        <w:t>☐ Final title, the insurance binder, the loan amount and the final AUS findings all match the closing figures.</w:t>
      </w:r>
    </w:p>
    <w:p>
      <w:pPr>
        <w:spacing w:after="60"/>
        <w:ind w:left="240"/>
      </w:pPr>
      <w:r>
        <w:rPr>
          <w:b w:val="0"/>
        </w:rPr>
        <w:t>☐ Every prior-to-funding condition is cleared in writing.</w:t>
      </w:r>
    </w:p>
    <w:p>
      <w:pPr>
        <w:pStyle w:val="Heading2"/>
      </w:pPr>
      <w:r>
        <w:t>Red flags for fraud</w:t>
      </w:r>
    </w:p>
    <w:p>
      <w:r>
        <w:rPr>
          <w:b w:val="0"/>
        </w:rPr>
        <w:t>1. Pay stubs with round numbers, wrong year-to-date math or inconsistent fonts.</w:t>
      </w:r>
    </w:p>
    <w:p>
      <w:r>
        <w:rPr>
          <w:b w:val="0"/>
        </w:rPr>
        <w:t>2. An employer phone number that only the borrower supplied.</w:t>
      </w:r>
    </w:p>
    <w:p>
      <w:r>
        <w:rPr>
          <w:b w:val="0"/>
        </w:rPr>
        <w:t>3. Income far out of line with the borrower's occupation or age.</w:t>
      </w:r>
    </w:p>
    <w:p>
      <w:r>
        <w:rPr>
          <w:b w:val="0"/>
        </w:rPr>
        <w:t>4. Tax returns that disagree with the transcripts.</w:t>
      </w:r>
    </w:p>
    <w:p>
      <w:r>
        <w:rPr>
          <w:b w:val="0"/>
        </w:rPr>
        <w:t>5. Bank statements with altered balances or running totals that do not add up.</w:t>
      </w:r>
    </w:p>
    <w:p>
      <w:r>
        <w:rPr>
          <w:b w:val="0"/>
        </w:rPr>
        <w:t>6. New accounts opened shortly before the application.</w:t>
      </w:r>
    </w:p>
    <w:p>
      <w:r>
        <w:rPr>
          <w:b w:val="0"/>
        </w:rPr>
        <w:t>7. Large round transfers between related parties.</w:t>
      </w:r>
    </w:p>
    <w:p>
      <w:r>
        <w:rPr>
          <w:b w:val="0"/>
        </w:rPr>
        <w:t>8. Cash deposits with no clear origin.</w:t>
      </w:r>
    </w:p>
    <w:p>
      <w:r>
        <w:rPr>
          <w:b w:val="0"/>
        </w:rPr>
        <w:t>9. A gift donor who cannot show the funds or seems to have no real relationship to the borrower.</w:t>
      </w:r>
    </w:p>
    <w:p>
      <w:r>
        <w:rPr>
          <w:b w:val="0"/>
        </w:rPr>
        <w:t>10. A primary residence claim on a home far from work, or larger or smaller than the household needs.</w:t>
      </w:r>
    </w:p>
    <w:p>
      <w:r>
        <w:rPr>
          <w:b w:val="0"/>
        </w:rPr>
        <w:t>11. A borrower who already owns a similar home nearby with no plan for it.</w:t>
      </w:r>
    </w:p>
    <w:p>
      <w:r>
        <w:rPr>
          <w:b w:val="0"/>
        </w:rPr>
        <w:t>12. A seller, agent or loan officer who seems to control the transaction for the borrower.</w:t>
      </w:r>
    </w:p>
    <w:p>
      <w:r>
        <w:rPr>
          <w:b w:val="0"/>
        </w:rPr>
        <w:t>13. A recent resale of the property at a sharp markup.</w:t>
      </w:r>
    </w:p>
    <w:p>
      <w:r>
        <w:rPr>
          <w:b w:val="0"/>
        </w:rPr>
        <w:t>14. Mailing addresses, phone numbers or signatures that change across documents.</w:t>
      </w:r>
    </w:p>
    <w:p>
      <w:r>
        <w:rPr>
          <w:b w:val="0"/>
        </w:rPr>
        <w:t>15. Credit inquiries the borrower cannot explain.</w:t>
      </w:r>
    </w:p>
    <w:p>
      <w:pPr>
        <w:pStyle w:val="Heading2"/>
      </w:pPr>
      <w:r>
        <w:t>File notes that protect you in quality control</w:t>
      </w:r>
    </w:p>
    <w:p>
      <w:r>
        <w:rPr>
          <w:b w:val="0"/>
        </w:rPr>
        <w:t>1. The income calculation, step by step, with the source of each figure.</w:t>
      </w:r>
    </w:p>
    <w:p>
      <w:r>
        <w:rPr>
          <w:b w:val="0"/>
        </w:rPr>
        <w:t>2. Why you chose a particular year, average or exclusion.</w:t>
      </w:r>
    </w:p>
    <w:p>
      <w:r>
        <w:rPr>
          <w:b w:val="0"/>
        </w:rPr>
        <w:t>3. How each large deposit was sourced, or how much was subtracted.</w:t>
      </w:r>
    </w:p>
    <w:p>
      <w:r>
        <w:rPr>
          <w:b w:val="0"/>
        </w:rPr>
        <w:t>4. The gift trail from the donor's account to the closing agent.</w:t>
      </w:r>
    </w:p>
    <w:p>
      <w:r>
        <w:rPr>
          <w:b w:val="0"/>
        </w:rPr>
        <w:t>5. Each debt excluded and the document that supports excluding it.</w:t>
      </w:r>
    </w:p>
    <w:p>
      <w:r>
        <w:rPr>
          <w:b w:val="0"/>
        </w:rPr>
        <w:t>6. The compensating factors that justified any layered risk.</w:t>
      </w:r>
    </w:p>
    <w:p>
      <w:r>
        <w:rPr>
          <w:b w:val="0"/>
        </w:rPr>
        <w:t>7. Every exception: who approved it, when and under what authority.</w:t>
      </w:r>
    </w:p>
    <w:p>
      <w:r>
        <w:rPr>
          <w:b w:val="0"/>
        </w:rPr>
        <w:t>8. The date and result of each AUS resubmission, with the reason for it.</w:t>
      </w:r>
    </w:p>
    <w:p>
      <w:r>
        <w:t>Julian R. Sterling, The Mortgage Underwriter. A working aid, not lending, legal, tax, accounting or investment advice. The current investor guide and the current rules govern every file.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Mortgage Underwriter: The Underwriter's Toolkit</dc:title>
  <dc:subject/>
  <dc:creator>Julian R. Sterling</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