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Trader's Toolkit</w:t>
      </w:r>
    </w:p>
    <w:p>
      <w:r>
        <w:rPr>
          <w:b w:val="0"/>
        </w:rPr>
        <w:t>These are the lists the desk keeps pinned to the side of the screen. They are short because a checklist is used under time pressure. The case figures come from the Thornbury Vale desk on 10 and 11 March 2026. Every market level in them, including yields, spreads and repo rates, is a teaching assumption, not the real market on those dates. Adapt the items to your own desk's rules, and confirm anything legal or regulatory with your compliance team.</w:t>
      </w:r>
    </w:p>
    <w:p>
      <w:pPr>
        <w:pStyle w:val="Heading2"/>
      </w:pPr>
      <w:r>
        <w:t>Morning meeting checklist</w:t>
      </w:r>
    </w:p>
    <w:p>
      <w:pPr>
        <w:spacing w:after="60"/>
        <w:ind w:left="240"/>
      </w:pPr>
      <w:r>
        <w:rPr>
          <w:b w:val="0"/>
        </w:rPr>
        <w:t>☐ Read the overnight notes from Asia and the London desk before 07:00, and write down the one move that matters most for your book.</w:t>
      </w:r>
    </w:p>
    <w:p>
      <w:pPr>
        <w:spacing w:after="60"/>
        <w:ind w:left="240"/>
      </w:pPr>
      <w:r>
        <w:rPr>
          <w:b w:val="0"/>
        </w:rPr>
        <w:t>☐ Check the starting curve against your own sheet. In the case it is 2-year 3.90 percent, 10-year 4.25 percent and 30-year 4.70 percent, a 2s10s slope of 35 basis points.</w:t>
      </w:r>
    </w:p>
    <w:p>
      <w:pPr>
        <w:spacing w:after="60"/>
        <w:ind w:left="240"/>
      </w:pPr>
      <w:r>
        <w:rPr>
          <w:b w:val="0"/>
        </w:rPr>
        <w:t>☐ Open the risk report and note net DV01 and CS01 against their limits. In the case the limits are $250,000 and $150,000, and the book stood at $180,000 and $95,000 before the client trade.</w:t>
      </w:r>
    </w:p>
    <w:p>
      <w:pPr>
        <w:spacing w:after="60"/>
        <w:ind w:left="240"/>
      </w:pPr>
      <w:r>
        <w:rPr>
          <w:b w:val="0"/>
        </w:rPr>
        <w:t>☐ Find out how much DV01 headroom is left before anyone asks you to bid. In the case it is $70,000.</w:t>
      </w:r>
    </w:p>
    <w:p>
      <w:pPr>
        <w:spacing w:after="60"/>
        <w:ind w:left="240"/>
      </w:pPr>
      <w:r>
        <w:rPr>
          <w:b w:val="0"/>
        </w:rPr>
        <w:t>☐ List the day's economic releases and their times so that no quote goes out in the seconds around 08:30.</w:t>
      </w:r>
    </w:p>
    <w:p>
      <w:pPr>
        <w:spacing w:after="60"/>
        <w:ind w:left="240"/>
      </w:pPr>
      <w:r>
        <w:rPr>
          <w:b w:val="0"/>
        </w:rPr>
        <w:t>☐ Write down the strategist's view in one line, and note that it is a view, not a position.</w:t>
      </w:r>
    </w:p>
    <w:p>
      <w:pPr>
        <w:spacing w:after="60"/>
        <w:ind w:left="240"/>
      </w:pPr>
      <w:r>
        <w:rPr>
          <w:b w:val="0"/>
        </w:rPr>
        <w:t>☐ Go through your inventory line by line and flag every bond that has been on the book longer than the desk likes.</w:t>
      </w:r>
    </w:p>
    <w:p>
      <w:pPr>
        <w:spacing w:after="60"/>
        <w:ind w:left="240"/>
      </w:pPr>
      <w:r>
        <w:rPr>
          <w:b w:val="0"/>
        </w:rPr>
        <w:t>☐ Agree the axes with the credit traders: what the desk wants to sell, what it wants to buy, and in what size.</w:t>
      </w:r>
    </w:p>
    <w:p>
      <w:pPr>
        <w:spacing w:after="60"/>
        <w:ind w:left="240"/>
      </w:pPr>
      <w:r>
        <w:rPr>
          <w:b w:val="0"/>
        </w:rPr>
        <w:t>☐ Give the salespeople the axes in writing, worded so they can pass them on to clients within the compliance rules.</w:t>
      </w:r>
    </w:p>
    <w:p>
      <w:pPr>
        <w:spacing w:after="60"/>
        <w:ind w:left="240"/>
      </w:pPr>
      <w:r>
        <w:rPr>
          <w:b w:val="0"/>
        </w:rPr>
        <w:t>☐ Ask the market risk manager whether any limit or stress number moved overnight.</w:t>
      </w:r>
    </w:p>
    <w:p>
      <w:pPr>
        <w:spacing w:after="60"/>
        <w:ind w:left="240"/>
      </w:pPr>
      <w:r>
        <w:rPr>
          <w:b w:val="0"/>
        </w:rPr>
        <w:t>☐ Note any new issues expected in your sector. Fresh supply can move the spreads on the bonds you already hold.</w:t>
      </w:r>
    </w:p>
    <w:p>
      <w:pPr>
        <w:spacing w:after="60"/>
        <w:ind w:left="240"/>
      </w:pPr>
      <w:r>
        <w:rPr>
          <w:b w:val="0"/>
        </w:rPr>
        <w:t>☐ Leave the meeting with three priorities for the day and say them out loud to the head of the desk.</w:t>
      </w:r>
    </w:p>
    <w:p>
      <w:pPr>
        <w:pStyle w:val="Heading2"/>
      </w:pPr>
      <w:r>
        <w:t>Pricing an RFQ</w:t>
      </w:r>
    </w:p>
    <w:p>
      <w:pPr>
        <w:spacing w:after="60"/>
        <w:ind w:left="240"/>
      </w:pPr>
      <w:r>
        <w:rPr>
          <w:b w:val="0"/>
        </w:rPr>
        <w:t>☐ Read the request in full: the bond, the side, the size, the number of dealers in competition and the time you have to respond. The case request is $20 million to sell, sent to 5 dealers on an electronic platform.</w:t>
      </w:r>
    </w:p>
    <w:p>
      <w:pPr>
        <w:spacing w:after="60"/>
        <w:ind w:left="240"/>
      </w:pPr>
      <w:r>
        <w:rPr>
          <w:b w:val="0"/>
        </w:rPr>
        <w:t>☐ Establish mid from the composite price feed and recent TRACE prints, not from memory. In the case, mid is a spread of 105 basis points over the 7-year Treasury at 4.10 percent.</w:t>
      </w:r>
    </w:p>
    <w:p>
      <w:pPr>
        <w:spacing w:after="60"/>
        <w:ind w:left="240"/>
      </w:pPr>
      <w:r>
        <w:rPr>
          <w:b w:val="0"/>
        </w:rPr>
        <w:t>☐ Convert spread to yield to price before you send. In the case, a spread of 110 basis points gives a yield of 5.20 percent and a price of 98.84.</w:t>
      </w:r>
    </w:p>
    <w:p>
      <w:pPr>
        <w:spacing w:after="60"/>
        <w:ind w:left="240"/>
      </w:pPr>
      <w:r>
        <w:rPr>
          <w:b w:val="0"/>
        </w:rPr>
        <w:t>☐ Check the request against your axes. A bond you want to own deserves a tighter bid than one you would rather not hold.</w:t>
      </w:r>
    </w:p>
    <w:p>
      <w:pPr>
        <w:spacing w:after="60"/>
        <w:ind w:left="240"/>
      </w:pPr>
      <w:r>
        <w:rPr>
          <w:b w:val="0"/>
        </w:rPr>
        <w:t>☐ Check the inventory you already hold in that issuer and sector, and ask whether this trade adds to a concentration.</w:t>
      </w:r>
    </w:p>
    <w:p>
      <w:pPr>
        <w:spacing w:after="60"/>
        <w:ind w:left="240"/>
      </w:pPr>
      <w:r>
        <w:rPr>
          <w:b w:val="0"/>
        </w:rPr>
        <w:t>☐ Calculate the risk the trade would add before you quote. The case trade adds $11,530 of DV01 and the same amount of CS01.</w:t>
      </w:r>
    </w:p>
    <w:p>
      <w:pPr>
        <w:spacing w:after="60"/>
        <w:ind w:left="240"/>
      </w:pPr>
      <w:r>
        <w:rPr>
          <w:b w:val="0"/>
        </w:rPr>
        <w:t>☐ Confirm the trade fits inside the limits once the hedge is on. In the case, CS01 would rise to $106,530, which is still under $150,000.</w:t>
      </w:r>
    </w:p>
    <w:p>
      <w:pPr>
        <w:spacing w:after="60"/>
        <w:ind w:left="240"/>
      </w:pPr>
      <w:r>
        <w:rPr>
          <w:b w:val="0"/>
        </w:rPr>
        <w:t>☐ Allow for the winner's curse. When several dealers are asked, the one who wins is often the one who misjudged mid.</w:t>
      </w:r>
    </w:p>
    <w:p>
      <w:pPr>
        <w:spacing w:after="60"/>
        <w:ind w:left="240"/>
      </w:pPr>
      <w:r>
        <w:rPr>
          <w:b w:val="0"/>
        </w:rPr>
        <w:t>☐ Know your edge in points and in dollars before you press send. The case edge is 0.29 points, $57,751 on $20 million.</w:t>
      </w:r>
    </w:p>
    <w:p>
      <w:pPr>
        <w:spacing w:after="60"/>
        <w:ind w:left="240"/>
      </w:pPr>
      <w:r>
        <w:rPr>
          <w:b w:val="0"/>
        </w:rPr>
        <w:t>☐ Record the outcome even when you lose. At a hit ratio of 14 percent, most requests are lost, and the losses tell you where the market is.</w:t>
      </w:r>
    </w:p>
    <w:p>
      <w:pPr>
        <w:pStyle w:val="Heading2"/>
      </w:pPr>
      <w:r>
        <w:t>Hedging a client trade</w:t>
      </w:r>
    </w:p>
    <w:p>
      <w:pPr>
        <w:spacing w:after="60"/>
        <w:ind w:left="240"/>
      </w:pPr>
      <w:r>
        <w:rPr>
          <w:b w:val="0"/>
        </w:rPr>
        <w:t>☐ Hedge the rate risk within minutes of the fill, as the desk rules require, unless the rates trader has agreed to take the risk.</w:t>
      </w:r>
    </w:p>
    <w:p>
      <w:pPr>
        <w:spacing w:after="60"/>
        <w:ind w:left="240"/>
      </w:pPr>
      <w:r>
        <w:rPr>
          <w:b w:val="0"/>
        </w:rPr>
        <w:t>☐ Use the benchmark that matches the bond's maturity. The case corporate bond is a 7-year, so the hedge is the 7-year Treasury.</w:t>
      </w:r>
    </w:p>
    <w:p>
      <w:pPr>
        <w:spacing w:after="60"/>
        <w:ind w:left="240"/>
      </w:pPr>
      <w:r>
        <w:rPr>
          <w:b w:val="0"/>
        </w:rPr>
        <w:t>☐ Size the hedge by DV01, not by face amount. In the case, $11,530 divided by $601 per $1 million gives 19.2 million dollars face of the 7-year Treasury, a hedge ratio of 0.96.</w:t>
      </w:r>
    </w:p>
    <w:p>
      <w:pPr>
        <w:spacing w:after="60"/>
        <w:ind w:left="240"/>
      </w:pPr>
      <w:r>
        <w:rPr>
          <w:b w:val="0"/>
        </w:rPr>
        <w:t>☐ Say out loud what the hedge leaves on the book. In the case, rate risk goes to roughly zero and the $11,530 of CS01 stays.</w:t>
      </w:r>
    </w:p>
    <w:p>
      <w:pPr>
        <w:spacing w:after="60"/>
        <w:ind w:left="240"/>
      </w:pPr>
      <w:r>
        <w:rPr>
          <w:b w:val="0"/>
        </w:rPr>
        <w:t>☐ Book the hedge against the client ticket so that P&amp;L attribution can match the two legs.</w:t>
      </w:r>
    </w:p>
    <w:p>
      <w:pPr>
        <w:spacing w:after="60"/>
        <w:ind w:left="240"/>
      </w:pPr>
      <w:r>
        <w:rPr>
          <w:b w:val="0"/>
        </w:rPr>
        <w:t>☐ Recheck net DV01 after the hedge. In the case it is unchanged at $180,000; unhedged, it would have been $191,530.</w:t>
      </w:r>
    </w:p>
    <w:p>
      <w:pPr>
        <w:spacing w:after="60"/>
        <w:ind w:left="240"/>
      </w:pPr>
      <w:r>
        <w:rPr>
          <w:b w:val="0"/>
        </w:rPr>
        <w:t>☐ Resize the hedge when you sell part of the position. In the case, after the $10 million resale the desk keeps $10 million of the bond and halves the hedge.</w:t>
      </w:r>
    </w:p>
    <w:p>
      <w:pPr>
        <w:spacing w:after="60"/>
        <w:ind w:left="240"/>
      </w:pPr>
      <w:r>
        <w:rPr>
          <w:b w:val="0"/>
        </w:rPr>
        <w:t>☐ Check the financing on both legs. In the case the repo rates are assumptions, and the net carry on the hedged position comes to about $523 a day.</w:t>
      </w:r>
    </w:p>
    <w:p>
      <w:pPr>
        <w:pStyle w:val="Heading2"/>
      </w:pPr>
      <w:r>
        <w:t>End-of-day marks and P&amp;L sign-off</w:t>
      </w:r>
    </w:p>
    <w:p>
      <w:pPr>
        <w:spacing w:after="60"/>
        <w:ind w:left="240"/>
      </w:pPr>
      <w:r>
        <w:rPr>
          <w:b w:val="0"/>
        </w:rPr>
        <w:t>☐ Mark every position at 16:00 against composite prices and TRACE prints, as the desk rules require.</w:t>
      </w:r>
    </w:p>
    <w:p>
      <w:pPr>
        <w:spacing w:after="60"/>
        <w:ind w:left="240"/>
      </w:pPr>
      <w:r>
        <w:rPr>
          <w:b w:val="0"/>
        </w:rPr>
        <w:t>☐ Write a short explanation next to any mark that differs from the composite, with a source and the time it was observed.</w:t>
      </w:r>
    </w:p>
    <w:p>
      <w:pPr>
        <w:spacing w:after="60"/>
        <w:ind w:left="240"/>
      </w:pPr>
      <w:r>
        <w:rPr>
          <w:b w:val="0"/>
        </w:rPr>
        <w:t>☐ Mark at mid, the desk's convention, not at the price you traded, and know the bid-offer reserve product control applies on top. In the case, marking at mid is what turns the 0.29 point edge into day-one P&amp;L.</w:t>
      </w:r>
    </w:p>
    <w:p>
      <w:pPr>
        <w:spacing w:after="60"/>
        <w:ind w:left="240"/>
      </w:pPr>
      <w:r>
        <w:rPr>
          <w:b w:val="0"/>
        </w:rPr>
        <w:t>☐ Split the day's P&amp;L into edge, rates, spread and carry before you hand it to the product controller.</w:t>
      </w:r>
    </w:p>
    <w:p>
      <w:pPr>
        <w:spacing w:after="60"/>
        <w:ind w:left="240"/>
      </w:pPr>
      <w:r>
        <w:rPr>
          <w:b w:val="0"/>
        </w:rPr>
        <w:t>☐ Check that the rates and spread components agree with the risk. On day two in the case, the net loss of $34,551 is very close to 3 basis points of widening times the CS01 (about $34,591).</w:t>
      </w:r>
    </w:p>
    <w:p>
      <w:pPr>
        <w:spacing w:after="60"/>
        <w:ind w:left="240"/>
      </w:pPr>
      <w:r>
        <w:rPr>
          <w:b w:val="0"/>
        </w:rPr>
        <w:t>☐ Separate new trades from existing positions so that day-one edge does not hide losses on old inventory.</w:t>
      </w:r>
    </w:p>
    <w:p>
      <w:pPr>
        <w:spacing w:after="60"/>
        <w:ind w:left="240"/>
      </w:pPr>
      <w:r>
        <w:rPr>
          <w:b w:val="0"/>
        </w:rPr>
        <w:t>☐ Reconcile the trade count and the face amounts with the booking system before 17:30.</w:t>
      </w:r>
    </w:p>
    <w:p>
      <w:pPr>
        <w:spacing w:after="60"/>
        <w:ind w:left="240"/>
      </w:pPr>
      <w:r>
        <w:rPr>
          <w:b w:val="0"/>
        </w:rPr>
        <w:t>☐ Explain every unexpected move in one sentence. If you can't, you have a question to answer before you go home.</w:t>
      </w:r>
    </w:p>
    <w:p>
      <w:pPr>
        <w:spacing w:after="60"/>
        <w:ind w:left="240"/>
      </w:pPr>
      <w:r>
        <w:rPr>
          <w:b w:val="0"/>
        </w:rPr>
        <w:t>☐ Sign off with the product controller and settle any differences that day. Do not carry them to the next morning.</w:t>
      </w:r>
    </w:p>
    <w:p>
      <w:pPr>
        <w:spacing w:after="60"/>
        <w:ind w:left="240"/>
      </w:pPr>
      <w:r>
        <w:rPr>
          <w:b w:val="0"/>
        </w:rPr>
        <w:t>☐ Track the ticket over its life. The case ticket stood at $29,007 after two days: $57,751 on day one, minus $34,551 on day two, plus $5,807 on the sale.</w:t>
      </w:r>
    </w:p>
    <w:p>
      <w:pPr>
        <w:pStyle w:val="Heading2"/>
      </w:pPr>
      <w:r>
        <w:t>Risk limit escalation</w:t>
      </w:r>
    </w:p>
    <w:p>
      <w:pPr>
        <w:spacing w:after="60"/>
        <w:ind w:left="240"/>
      </w:pPr>
      <w:r>
        <w:rPr>
          <w:b w:val="0"/>
        </w:rPr>
        <w:t>☐ Know every limit that applies to your book and how close you are to each one at the open, at midday and at the close.</w:t>
      </w:r>
    </w:p>
    <w:p>
      <w:pPr>
        <w:spacing w:after="60"/>
        <w:ind w:left="240"/>
      </w:pPr>
      <w:r>
        <w:rPr>
          <w:b w:val="0"/>
        </w:rPr>
        <w:t>☐ Tell the head of the desk before a trade that would take the book through a limit, not after it.</w:t>
      </w:r>
    </w:p>
    <w:p>
      <w:pPr>
        <w:spacing w:after="60"/>
        <w:ind w:left="240"/>
      </w:pPr>
      <w:r>
        <w:rPr>
          <w:b w:val="0"/>
        </w:rPr>
        <w:t>☐ Escalate any excess to the head of the desk and to market risk the same day, as the desk rules require.</w:t>
      </w:r>
    </w:p>
    <w:p>
      <w:pPr>
        <w:spacing w:after="60"/>
        <w:ind w:left="240"/>
      </w:pPr>
      <w:r>
        <w:rPr>
          <w:b w:val="0"/>
        </w:rPr>
        <w:t>☐ Put the excess in writing: the limit, the amount over, the cause, and the plan and timetable to get back inside.</w:t>
      </w:r>
    </w:p>
    <w:p>
      <w:pPr>
        <w:spacing w:after="60"/>
        <w:ind w:left="240"/>
      </w:pPr>
      <w:r>
        <w:rPr>
          <w:b w:val="0"/>
        </w:rPr>
        <w:t>☐ Check the stress numbers as well as the limits. In the case, a 100 basis point parallel rise costs $18,000,000 on the DV01 alone, and a 50 basis point spread widening costs $4,750,000 on the CS01.</w:t>
      </w:r>
    </w:p>
    <w:p>
      <w:pPr>
        <w:spacing w:after="60"/>
        <w:ind w:left="240"/>
      </w:pPr>
      <w:r>
        <w:rPr>
          <w:b w:val="0"/>
        </w:rPr>
        <w:t>☐ Write down what the excess taught you and add it to your own morning checklist.</w:t>
      </w:r>
    </w:p>
    <w:p>
      <w:pPr>
        <w:pStyle w:val="Heading2"/>
      </w:pPr>
      <w:r>
        <w:t>Client call notes</w:t>
      </w:r>
    </w:p>
    <w:p>
      <w:pPr>
        <w:spacing w:after="60"/>
        <w:ind w:left="240"/>
      </w:pPr>
      <w:r>
        <w:rPr>
          <w:b w:val="0"/>
        </w:rPr>
        <w:t>☐ Before the call, write down the client's type (for example an asset manager, a pension plan, an insurance company or a hedge fund) and what that kind of client is usually trying to do.</w:t>
      </w:r>
    </w:p>
    <w:p>
      <w:pPr>
        <w:spacing w:after="60"/>
        <w:ind w:left="240"/>
      </w:pPr>
      <w:r>
        <w:rPr>
          <w:b w:val="0"/>
        </w:rPr>
        <w:t>☐ Look up what the client has traded with the desk recently and what it asked for and didn't trade.</w:t>
      </w:r>
    </w:p>
    <w:p>
      <w:pPr>
        <w:spacing w:after="60"/>
        <w:ind w:left="240"/>
      </w:pPr>
      <w:r>
        <w:rPr>
          <w:b w:val="0"/>
        </w:rPr>
        <w:t>☐ Prepare the axes and market color you are allowed to share, and leave out anything that would reveal another client's activity.</w:t>
      </w:r>
    </w:p>
    <w:p>
      <w:pPr>
        <w:spacing w:after="60"/>
        <w:ind w:left="240"/>
      </w:pPr>
      <w:r>
        <w:rPr>
          <w:b w:val="0"/>
        </w:rPr>
        <w:t>☐ Listen for size, timing and urgency, and note them in the client's own words.</w:t>
      </w:r>
    </w:p>
    <w:p>
      <w:pPr>
        <w:spacing w:after="60"/>
        <w:ind w:left="240"/>
      </w:pPr>
      <w:r>
        <w:rPr>
          <w:b w:val="0"/>
        </w:rPr>
        <w:t>☐ Record every price and level you quote, with the time and the basis: spread, yield or price.</w:t>
      </w:r>
    </w:p>
    <w:p>
      <w:pPr>
        <w:spacing w:after="60"/>
        <w:ind w:left="240"/>
      </w:pPr>
      <w:r>
        <w:rPr>
          <w:b w:val="0"/>
        </w:rPr>
        <w:t>☐ Note any follow-up you promised and give it a deadline the same day.</w:t>
      </w:r>
    </w:p>
    <w:p>
      <w:pPr>
        <w:spacing w:after="60"/>
        <w:ind w:left="240"/>
      </w:pPr>
      <w:r>
        <w:rPr>
          <w:b w:val="0"/>
        </w:rPr>
        <w:t>☐ Pass relevant interest to the traders straight away. On day two of the case, a pension plan's demand let the desk sell $10 million at a spread of 107 basis points, $5,807 above the new mid.</w:t>
      </w:r>
    </w:p>
    <w:p>
      <w:pPr>
        <w:spacing w:after="60"/>
        <w:ind w:left="240"/>
      </w:pPr>
      <w:r>
        <w:rPr>
          <w:b w:val="0"/>
        </w:rPr>
        <w:t>☐ File the notes where compliance can see them, using plain language you would be comfortable having read back to you.</w:t>
      </w:r>
    </w:p>
    <w:p>
      <w:pPr>
        <w:pStyle w:val="Heading2"/>
      </w:pPr>
      <w:r>
        <w:t>Interview preparation plan</w:t>
      </w:r>
    </w:p>
    <w:p>
      <w:pPr>
        <w:spacing w:after="60"/>
        <w:ind w:left="240"/>
      </w:pPr>
      <w:r>
        <w:rPr>
          <w:b w:val="0"/>
        </w:rPr>
        <w:t>☐ Learn the seats on a flow desk and what each one is paid to do, using the 14-person Thornbury Vale desk as your model.</w:t>
      </w:r>
    </w:p>
    <w:p>
      <w:pPr>
        <w:spacing w:after="60"/>
        <w:ind w:left="240"/>
      </w:pPr>
      <w:r>
        <w:rPr>
          <w:b w:val="0"/>
        </w:rPr>
        <w:t>☐ Practice the price and yield relationship until it is automatic. In the case, a 10-year note at 4.25 percent is priced at 100.00, and a 10 basis point rise takes it to 99.20.</w:t>
      </w:r>
    </w:p>
    <w:p>
      <w:pPr>
        <w:spacing w:after="60"/>
        <w:ind w:left="240"/>
      </w:pPr>
      <w:r>
        <w:rPr>
          <w:b w:val="0"/>
        </w:rPr>
        <w:t>☐ Be ready to explain DV01 in one sentence: the case 10-year note's DV01 is $808 per $1 million face per basis point.</w:t>
      </w:r>
    </w:p>
    <w:p>
      <w:pPr>
        <w:spacing w:after="60"/>
        <w:ind w:left="240"/>
      </w:pPr>
      <w:r>
        <w:rPr>
          <w:b w:val="0"/>
        </w:rPr>
        <w:t>☐ Rehearse sizing a hedge out loud using the case 7-year numbers, and say what risk the hedge leaves behind.</w:t>
      </w:r>
    </w:p>
    <w:p>
      <w:pPr>
        <w:spacing w:after="60"/>
        <w:ind w:left="240"/>
      </w:pPr>
      <w:r>
        <w:rPr>
          <w:b w:val="0"/>
        </w:rPr>
        <w:t>☐ Practice mental math every day under a time limit: fractions, basis points and percentages of round amounts.</w:t>
      </w:r>
    </w:p>
    <w:p>
      <w:pPr>
        <w:spacing w:after="60"/>
        <w:ind w:left="240"/>
      </w:pPr>
      <w:r>
        <w:rPr>
          <w:b w:val="0"/>
        </w:rPr>
        <w:t>☐ Prepare a market pitch of no more than two minutes: one idea, the risk in it, and how you would know you were wrong.</w:t>
      </w:r>
    </w:p>
    <w:p>
      <w:pPr>
        <w:spacing w:after="60"/>
        <w:ind w:left="240"/>
      </w:pPr>
      <w:r>
        <w:rPr>
          <w:b w:val="0"/>
        </w:rPr>
        <w:t>☐ Follow the market for two weeks before the interview and be able to describe one recent move in rates and one in credit.</w:t>
      </w:r>
    </w:p>
    <w:p>
      <w:pPr>
        <w:spacing w:after="60"/>
        <w:ind w:left="240"/>
      </w:pPr>
      <w:r>
        <w:rPr>
          <w:b w:val="0"/>
        </w:rPr>
        <w:t>☐ Know one dated fact about the size of the market, for example $31.8 trillion of US Treasury securities outstanding as of September 2026 (SIFMA).</w:t>
      </w:r>
    </w:p>
    <w:p>
      <w:pPr>
        <w:spacing w:after="60"/>
        <w:ind w:left="240"/>
      </w:pPr>
      <w:r>
        <w:rPr>
          <w:b w:val="0"/>
        </w:rPr>
        <w:t>☐ Read up on licensing. As of 2026, bond traders and salespeople in the United States typically pass the SIE and the Series 7, often with the Series 63 depending on the state; the Series 57 is for equity, preferred and convertible trading. Check the details with the employer's compliance team.</w:t>
      </w:r>
    </w:p>
    <w:p>
      <w:pPr>
        <w:spacing w:after="60"/>
        <w:ind w:left="240"/>
      </w:pPr>
      <w:r>
        <w:rPr>
          <w:b w:val="0"/>
        </w:rPr>
        <w:t>☐ Work through the 36 questions in Appendix C, answering out loud, and time each answer at under a minute.</w:t>
      </w:r>
    </w:p>
    <w:p>
      <w:r>
        <w:t>Julian R. Sterling, The Fixed Income Trader. A working aid, not trading, investment, legal, tax or accounting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Fixed Income Trader: The Trader's Toolkit</dc:title>
  <dc:subject/>
  <dc:creator>Julian R. Sterling</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