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FDD Associate's Toolkit</w:t>
      </w:r>
    </w:p>
    <w:p>
      <w:r>
        <w:rPr>
          <w:b w:val="0"/>
        </w:rPr>
        <w:t>These checklists are the kind a manager hands to new associates on their first engagement. They are working tools: copy them into the databook, tick them off, and add the lines your own deals teach you. Each list follows the order in which the work usually happens. The case is mentioned only where it shows why an item is on the list.</w:t>
      </w:r>
    </w:p>
    <w:p>
      <w:pPr>
        <w:pStyle w:val="Heading2"/>
      </w:pPr>
      <w:r>
        <w:t>Scoping checklist</w:t>
      </w:r>
    </w:p>
    <w:p>
      <w:pPr>
        <w:spacing w:after="60"/>
        <w:ind w:left="240"/>
      </w:pPr>
      <w:r>
        <w:rPr>
          <w:b w:val="0"/>
        </w:rPr>
        <w:t>☐ Write down the buyer's questions about earnings, net debt, working capital, cash and risks, and get the client to confirm them in writing.</w:t>
      </w:r>
    </w:p>
    <w:p>
      <w:pPr>
        <w:spacing w:after="60"/>
        <w:ind w:left="240"/>
      </w:pPr>
      <w:r>
        <w:rPr>
          <w:b w:val="0"/>
        </w:rPr>
        <w:t>☐ Agree the periods: three audited years, the LTM and current trading to the latest month-end.</w:t>
      </w:r>
    </w:p>
    <w:p>
      <w:pPr>
        <w:spacing w:after="60"/>
        <w:ind w:left="240"/>
      </w:pPr>
      <w:r>
        <w:rPr>
          <w:b w:val="0"/>
        </w:rPr>
        <w:t>☐ Name the EBITDA starting point and how it ties to the audited accounts.</w:t>
      </w:r>
    </w:p>
    <w:p>
      <w:pPr>
        <w:spacing w:after="60"/>
        <w:ind w:left="240"/>
      </w:pPr>
      <w:r>
        <w:rPr>
          <w:b w:val="0"/>
        </w:rPr>
        <w:t>☐ List what is out of scope (tax, legal, commercial, insurance and benefits, environmental, IT) and who covers each part.</w:t>
      </w:r>
    </w:p>
    <w:p>
      <w:pPr>
        <w:spacing w:after="60"/>
        <w:ind w:left="240"/>
      </w:pPr>
      <w:r>
        <w:rPr>
          <w:b w:val="0"/>
        </w:rPr>
        <w:t>☐ Identify every party that will read the report and which ones will ask for a reliance letter.</w:t>
      </w:r>
    </w:p>
    <w:p>
      <w:pPr>
        <w:spacing w:after="60"/>
        <w:ind w:left="240"/>
      </w:pPr>
      <w:r>
        <w:rPr>
          <w:b w:val="0"/>
        </w:rPr>
        <w:t>☐ Clear independence and conflicts before anyone opens the data room.</w:t>
      </w:r>
    </w:p>
    <w:p>
      <w:pPr>
        <w:spacing w:after="60"/>
        <w:ind w:left="240"/>
      </w:pPr>
      <w:r>
        <w:rPr>
          <w:b w:val="0"/>
        </w:rPr>
        <w:t>☐ Agree the fee, the budget in hours and what triggers a change order.</w:t>
      </w:r>
    </w:p>
    <w:p>
      <w:pPr>
        <w:spacing w:after="60"/>
        <w:ind w:left="240"/>
      </w:pPr>
      <w:r>
        <w:rPr>
          <w:b w:val="0"/>
        </w:rPr>
        <w:t>☐ Fix the dates for the red-flag call, the draft and the final report.</w:t>
      </w:r>
    </w:p>
    <w:p>
      <w:pPr>
        <w:spacing w:after="60"/>
        <w:ind w:left="240"/>
      </w:pPr>
      <w:r>
        <w:rPr>
          <w:b w:val="0"/>
        </w:rPr>
        <w:t>☐ Get the CIM and any sell-side QoE before the kick-off call.</w:t>
      </w:r>
    </w:p>
    <w:p>
      <w:pPr>
        <w:spacing w:after="60"/>
        <w:ind w:left="240"/>
      </w:pPr>
      <w:r>
        <w:rPr>
          <w:b w:val="0"/>
        </w:rPr>
        <w:t>☐ Find out who on the client side can approve a change in scope.</w:t>
      </w:r>
    </w:p>
    <w:p>
      <w:pPr>
        <w:pStyle w:val="Heading2"/>
      </w:pPr>
      <w:r>
        <w:t>Information request list: the core 20</w:t>
      </w:r>
    </w:p>
    <w:p>
      <w:pPr>
        <w:spacing w:after="60"/>
        <w:ind w:left="240"/>
      </w:pPr>
      <w:r>
        <w:rPr>
          <w:b w:val="0"/>
        </w:rPr>
        <w:t>☐ Monthly trial balances for every period in scope.</w:t>
      </w:r>
    </w:p>
    <w:p>
      <w:pPr>
        <w:spacing w:after="60"/>
        <w:ind w:left="240"/>
      </w:pPr>
      <w:r>
        <w:rPr>
          <w:b w:val="0"/>
        </w:rPr>
        <w:t>☐ Audited financial statements, audit reports and management letters.</w:t>
      </w:r>
    </w:p>
    <w:p>
      <w:pPr>
        <w:spacing w:after="60"/>
        <w:ind w:left="240"/>
      </w:pPr>
      <w:r>
        <w:rPr>
          <w:b w:val="0"/>
        </w:rPr>
        <w:t>☐ The chart of accounts and its mapping to the reported statements.</w:t>
      </w:r>
    </w:p>
    <w:p>
      <w:pPr>
        <w:spacing w:after="60"/>
        <w:ind w:left="240"/>
      </w:pPr>
      <w:r>
        <w:rPr>
          <w:b w:val="0"/>
        </w:rPr>
        <w:t>☐ Monthly management accounts and board packs.</w:t>
      </w:r>
    </w:p>
    <w:p>
      <w:pPr>
        <w:spacing w:after="60"/>
        <w:ind w:left="240"/>
      </w:pPr>
      <w:r>
        <w:rPr>
          <w:b w:val="0"/>
        </w:rPr>
        <w:t>☐ Revenue and gross margin by customer, product and segment.</w:t>
      </w:r>
    </w:p>
    <w:p>
      <w:pPr>
        <w:spacing w:after="60"/>
        <w:ind w:left="240"/>
      </w:pPr>
      <w:r>
        <w:rPr>
          <w:b w:val="0"/>
        </w:rPr>
        <w:t>☐ Contracts with the top customers and suppliers.</w:t>
      </w:r>
    </w:p>
    <w:p>
      <w:pPr>
        <w:spacing w:after="60"/>
        <w:ind w:left="240"/>
      </w:pPr>
      <w:r>
        <w:rPr>
          <w:b w:val="0"/>
        </w:rPr>
        <w:t>☐ Rebate agreements, tier schedules and payment history. Ask for these early: in the case they arrived among the last items.</w:t>
      </w:r>
    </w:p>
    <w:p>
      <w:pPr>
        <w:spacing w:after="60"/>
        <w:ind w:left="240"/>
      </w:pPr>
      <w:r>
        <w:rPr>
          <w:b w:val="0"/>
        </w:rPr>
        <w:t>☐ Credit notes, returns and claims by month.</w:t>
      </w:r>
    </w:p>
    <w:p>
      <w:pPr>
        <w:spacing w:after="60"/>
        <w:ind w:left="240"/>
      </w:pPr>
      <w:r>
        <w:rPr>
          <w:b w:val="0"/>
        </w:rPr>
        <w:t>☐ Aged receivables and aged payables at each month-end.</w:t>
      </w:r>
    </w:p>
    <w:p>
      <w:pPr>
        <w:spacing w:after="60"/>
        <w:ind w:left="240"/>
      </w:pPr>
      <w:r>
        <w:rPr>
          <w:b w:val="0"/>
        </w:rPr>
        <w:t>☐ Inventory listings, aging and the monthly reserve roll-forward.</w:t>
      </w:r>
    </w:p>
    <w:p>
      <w:pPr>
        <w:spacing w:after="60"/>
        <w:ind w:left="240"/>
      </w:pPr>
      <w:r>
        <w:rPr>
          <w:b w:val="0"/>
        </w:rPr>
        <w:t>☐ The fixed asset register and capex by project, with commitments.</w:t>
      </w:r>
    </w:p>
    <w:p>
      <w:pPr>
        <w:spacing w:after="60"/>
        <w:ind w:left="240"/>
      </w:pPr>
      <w:r>
        <w:rPr>
          <w:b w:val="0"/>
        </w:rPr>
        <w:t>☐ Debt agreements, finance leases and covenant certificates.</w:t>
      </w:r>
    </w:p>
    <w:p>
      <w:pPr>
        <w:spacing w:after="60"/>
        <w:ind w:left="240"/>
      </w:pPr>
      <w:r>
        <w:rPr>
          <w:b w:val="0"/>
        </w:rPr>
        <w:t>☐ Bank statements and bank reconciliations, including outstanding checks.</w:t>
      </w:r>
    </w:p>
    <w:p>
      <w:pPr>
        <w:spacing w:after="60"/>
        <w:ind w:left="240"/>
      </w:pPr>
      <w:r>
        <w:rPr>
          <w:b w:val="0"/>
        </w:rPr>
        <w:t>☐ Payroll summaries, headcount by month and bonus calculations.</w:t>
      </w:r>
    </w:p>
    <w:p>
      <w:pPr>
        <w:spacing w:after="60"/>
        <w:ind w:left="240"/>
      </w:pPr>
      <w:r>
        <w:rPr>
          <w:b w:val="0"/>
        </w:rPr>
        <w:t>☐ Compensation of the owners and their families, and all related-party transactions.</w:t>
      </w:r>
    </w:p>
    <w:p>
      <w:pPr>
        <w:spacing w:after="60"/>
        <w:ind w:left="240"/>
      </w:pPr>
      <w:r>
        <w:rPr>
          <w:b w:val="0"/>
        </w:rPr>
        <w:t>☐ Accrual and provision listings with the calculations behind them.</w:t>
      </w:r>
    </w:p>
    <w:p>
      <w:pPr>
        <w:spacing w:after="60"/>
        <w:ind w:left="240"/>
      </w:pPr>
      <w:r>
        <w:rPr>
          <w:b w:val="0"/>
        </w:rPr>
        <w:t>☐ Legal letters, claims, settlements and environmental reports.</w:t>
      </w:r>
    </w:p>
    <w:p>
      <w:pPr>
        <w:spacing w:after="60"/>
        <w:ind w:left="240"/>
      </w:pPr>
      <w:r>
        <w:rPr>
          <w:b w:val="0"/>
        </w:rPr>
        <w:t>☐ The current-year budget and the latest forecast.</w:t>
      </w:r>
    </w:p>
    <w:p>
      <w:pPr>
        <w:spacing w:after="60"/>
        <w:ind w:left="240"/>
      </w:pPr>
      <w:r>
        <w:rPr>
          <w:b w:val="0"/>
        </w:rPr>
        <w:t>☐ Management's adjustments, each with its support.</w:t>
      </w:r>
    </w:p>
    <w:p>
      <w:pPr>
        <w:spacing w:after="60"/>
        <w:ind w:left="240"/>
      </w:pPr>
      <w:r>
        <w:rPr>
          <w:b w:val="0"/>
        </w:rPr>
        <w:t>☐ Transaction bonuses, deferred compensation and change-of-control payments.</w:t>
      </w:r>
    </w:p>
    <w:p>
      <w:pPr>
        <w:pStyle w:val="Heading2"/>
      </w:pPr>
      <w:r>
        <w:t>Management meeting questions</w:t>
      </w:r>
    </w:p>
    <w:p>
      <w:pPr>
        <w:spacing w:after="60"/>
        <w:ind w:left="240"/>
      </w:pPr>
      <w:r>
        <w:rPr>
          <w:b w:val="0"/>
        </w:rPr>
        <w:t>☐ Walk us through how a customer order becomes revenue in the ledger.</w:t>
      </w:r>
    </w:p>
    <w:p>
      <w:pPr>
        <w:spacing w:after="60"/>
        <w:ind w:left="240"/>
      </w:pPr>
      <w:r>
        <w:rPr>
          <w:b w:val="0"/>
        </w:rPr>
        <w:t>☐ When are rebates accrued, at what rate, and when are they paid?</w:t>
      </w:r>
    </w:p>
    <w:p>
      <w:pPr>
        <w:spacing w:after="60"/>
        <w:ind w:left="240"/>
      </w:pPr>
      <w:r>
        <w:rPr>
          <w:b w:val="0"/>
        </w:rPr>
        <w:t>☐ Which reserves changed materially in the last two years, and why?</w:t>
      </w:r>
    </w:p>
    <w:p>
      <w:pPr>
        <w:spacing w:after="60"/>
        <w:ind w:left="240"/>
      </w:pPr>
      <w:r>
        <w:rPr>
          <w:b w:val="0"/>
        </w:rPr>
        <w:t>☐ What did the year-end close look like, and which entries came late?</w:t>
      </w:r>
    </w:p>
    <w:p>
      <w:pPr>
        <w:spacing w:after="60"/>
        <w:ind w:left="240"/>
      </w:pPr>
      <w:r>
        <w:rPr>
          <w:b w:val="0"/>
        </w:rPr>
        <w:t>☐ Which costs will disappear after the sale, and which new costs will appear?</w:t>
      </w:r>
    </w:p>
    <w:p>
      <w:pPr>
        <w:spacing w:after="60"/>
        <w:ind w:left="240"/>
      </w:pPr>
      <w:r>
        <w:rPr>
          <w:b w:val="0"/>
        </w:rPr>
        <w:t>☐ What does the owner do day to day, and who will replace them?</w:t>
      </w:r>
    </w:p>
    <w:p>
      <w:pPr>
        <w:spacing w:after="60"/>
        <w:ind w:left="240"/>
      </w:pPr>
      <w:r>
        <w:rPr>
          <w:b w:val="0"/>
        </w:rPr>
        <w:t>☐ Are any assets, leases or services provided by related parties?</w:t>
      </w:r>
    </w:p>
    <w:p>
      <w:pPr>
        <w:spacing w:after="60"/>
        <w:ind w:left="240"/>
      </w:pPr>
      <w:r>
        <w:rPr>
          <w:b w:val="0"/>
        </w:rPr>
        <w:t>☐ How have prices moved, and how much came from index clauses?</w:t>
      </w:r>
    </w:p>
    <w:p>
      <w:pPr>
        <w:spacing w:after="60"/>
        <w:ind w:left="240"/>
      </w:pPr>
      <w:r>
        <w:rPr>
          <w:b w:val="0"/>
        </w:rPr>
        <w:t>☐ Which customers grew, which shrank and which are at risk?</w:t>
      </w:r>
    </w:p>
    <w:p>
      <w:pPr>
        <w:spacing w:after="60"/>
        <w:ind w:left="240"/>
      </w:pPr>
      <w:r>
        <w:rPr>
          <w:b w:val="0"/>
        </w:rPr>
        <w:t>☐ Which contracts can a customer cancel on short notice?</w:t>
      </w:r>
    </w:p>
    <w:p>
      <w:pPr>
        <w:spacing w:after="60"/>
        <w:ind w:left="240"/>
      </w:pPr>
      <w:r>
        <w:rPr>
          <w:b w:val="0"/>
        </w:rPr>
        <w:t>☐ What capex is maintenance, and what is growth?</w:t>
      </w:r>
    </w:p>
    <w:p>
      <w:pPr>
        <w:spacing w:after="60"/>
        <w:ind w:left="240"/>
      </w:pPr>
      <w:r>
        <w:rPr>
          <w:b w:val="0"/>
        </w:rPr>
        <w:t>☐ How does working capital move through the year?</w:t>
      </w:r>
    </w:p>
    <w:p>
      <w:pPr>
        <w:spacing w:after="60"/>
        <w:ind w:left="240"/>
      </w:pPr>
      <w:r>
        <w:rPr>
          <w:b w:val="0"/>
        </w:rPr>
        <w:t>☐ How has the current year traded against budget, month by month?</w:t>
      </w:r>
    </w:p>
    <w:p>
      <w:pPr>
        <w:spacing w:after="60"/>
        <w:ind w:left="240"/>
      </w:pPr>
      <w:r>
        <w:rPr>
          <w:b w:val="0"/>
        </w:rPr>
        <w:t>☐ Are there disputes, claims or regulatory matters we have not seen?</w:t>
      </w:r>
    </w:p>
    <w:p>
      <w:pPr>
        <w:spacing w:after="60"/>
        <w:ind w:left="240"/>
      </w:pPr>
      <w:r>
        <w:rPr>
          <w:b w:val="0"/>
        </w:rPr>
        <w:t>☐ Which bonuses, commissions or one-time payments are still to be paid?</w:t>
      </w:r>
    </w:p>
    <w:p>
      <w:pPr>
        <w:pStyle w:val="Heading2"/>
      </w:pPr>
      <w:r>
        <w:t>QoE adjustment tests</w:t>
      </w:r>
    </w:p>
    <w:p>
      <w:pPr>
        <w:spacing w:after="60"/>
        <w:ind w:left="240"/>
      </w:pPr>
      <w:r>
        <w:rPr>
          <w:b w:val="0"/>
        </w:rPr>
        <w:t>☐ Tie each adjustment to the ledger, not to a schedule prepared for the sale.</w:t>
      </w:r>
    </w:p>
    <w:p>
      <w:pPr>
        <w:spacing w:after="60"/>
        <w:ind w:left="240"/>
      </w:pPr>
      <w:r>
        <w:rPr>
          <w:b w:val="0"/>
        </w:rPr>
        <w:t>☐ Check that the item really is outside normal operations, not just unwelcome.</w:t>
      </w:r>
    </w:p>
    <w:p>
      <w:pPr>
        <w:spacing w:after="60"/>
        <w:ind w:left="240"/>
      </w:pPr>
      <w:r>
        <w:rPr>
          <w:b w:val="0"/>
        </w:rPr>
        <w:t>☐ Look for the same "one-off" in earlier years.</w:t>
      </w:r>
    </w:p>
    <w:p>
      <w:pPr>
        <w:spacing w:after="60"/>
        <w:ind w:left="240"/>
      </w:pPr>
      <w:r>
        <w:rPr>
          <w:b w:val="0"/>
        </w:rPr>
        <w:t>☐ For owner costs, deduct a market-rate replacement before adding anything back. In the case the add-back was 0.5, not the 0.9 claimed.</w:t>
      </w:r>
    </w:p>
    <w:p>
      <w:pPr>
        <w:spacing w:after="60"/>
        <w:ind w:left="240"/>
      </w:pPr>
      <w:r>
        <w:rPr>
          <w:b w:val="0"/>
        </w:rPr>
        <w:t>☐ Reject run-rate claims when volumes have not started or the contract can be cancelled.</w:t>
      </w:r>
    </w:p>
    <w:p>
      <w:pPr>
        <w:spacing w:after="60"/>
        <w:ind w:left="240"/>
      </w:pPr>
      <w:r>
        <w:rPr>
          <w:b w:val="0"/>
        </w:rPr>
        <w:t>☐ Test cut-off on revenue, rebates, credits and bonuses around each year end.</w:t>
      </w:r>
    </w:p>
    <w:p>
      <w:pPr>
        <w:spacing w:after="60"/>
        <w:ind w:left="240"/>
      </w:pPr>
      <w:r>
        <w:rPr>
          <w:b w:val="0"/>
        </w:rPr>
        <w:t>☐ Roll forward every reserve and explain each release.</w:t>
      </w:r>
    </w:p>
    <w:p>
      <w:pPr>
        <w:spacing w:after="60"/>
        <w:ind w:left="240"/>
      </w:pPr>
      <w:r>
        <w:rPr>
          <w:b w:val="0"/>
        </w:rPr>
        <w:t>☐ Compare related-party prices with market evidence.</w:t>
      </w:r>
    </w:p>
    <w:p>
      <w:pPr>
        <w:spacing w:after="60"/>
        <w:ind w:left="240"/>
      </w:pPr>
      <w:r>
        <w:rPr>
          <w:b w:val="0"/>
        </w:rPr>
        <w:t>☐ Apply each adjustment to every period in the bridge, not only the latest.</w:t>
      </w:r>
    </w:p>
    <w:p>
      <w:pPr>
        <w:spacing w:after="60"/>
        <w:ind w:left="240"/>
      </w:pPr>
      <w:r>
        <w:rPr>
          <w:b w:val="0"/>
        </w:rPr>
        <w:t>☐ Make sure no item is counted both as an adjustment and as a debt-like item.</w:t>
      </w:r>
    </w:p>
    <w:p>
      <w:pPr>
        <w:spacing w:after="60"/>
        <w:ind w:left="240"/>
      </w:pPr>
      <w:r>
        <w:rPr>
          <w:b w:val="0"/>
        </w:rPr>
        <w:t>☐ Reconcile your bridge line by line to the sell-side QoE and the CIM.</w:t>
      </w:r>
    </w:p>
    <w:p>
      <w:pPr>
        <w:spacing w:after="60"/>
        <w:ind w:left="240"/>
      </w:pPr>
      <w:r>
        <w:rPr>
          <w:b w:val="0"/>
        </w:rPr>
        <w:t>☐ Record the evidence, the source and the person who explained each item.</w:t>
      </w:r>
    </w:p>
    <w:p>
      <w:pPr>
        <w:pStyle w:val="Heading2"/>
      </w:pPr>
      <w:r>
        <w:t>Debt-like items checklist</w:t>
      </w:r>
    </w:p>
    <w:p>
      <w:pPr>
        <w:spacing w:after="60"/>
        <w:ind w:left="240"/>
      </w:pPr>
      <w:r>
        <w:rPr>
          <w:b w:val="0"/>
        </w:rPr>
        <w:t>☐ Bank debt, revolver drawings and accrued interest.</w:t>
      </w:r>
    </w:p>
    <w:p>
      <w:pPr>
        <w:spacing w:after="60"/>
        <w:ind w:left="240"/>
      </w:pPr>
      <w:r>
        <w:rPr>
          <w:b w:val="0"/>
        </w:rPr>
        <w:t>☐ Finance leases.</w:t>
      </w:r>
    </w:p>
    <w:p>
      <w:pPr>
        <w:spacing w:after="60"/>
        <w:ind w:left="240"/>
      </w:pPr>
      <w:r>
        <w:rPr>
          <w:b w:val="0"/>
        </w:rPr>
        <w:t>☐ Outstanding checks and other cash that is not freely available.</w:t>
      </w:r>
    </w:p>
    <w:p>
      <w:pPr>
        <w:spacing w:after="60"/>
        <w:ind w:left="240"/>
      </w:pPr>
      <w:r>
        <w:rPr>
          <w:b w:val="0"/>
        </w:rPr>
        <w:t>☐ Accrued bonuses for prior periods that are still unpaid.</w:t>
      </w:r>
    </w:p>
    <w:p>
      <w:pPr>
        <w:spacing w:after="60"/>
        <w:ind w:left="240"/>
      </w:pPr>
      <w:r>
        <w:rPr>
          <w:b w:val="0"/>
        </w:rPr>
        <w:t>☐ Transaction bonuses payable at or because of closing.</w:t>
      </w:r>
    </w:p>
    <w:p>
      <w:pPr>
        <w:spacing w:after="60"/>
        <w:ind w:left="240"/>
      </w:pPr>
      <w:r>
        <w:rPr>
          <w:b w:val="0"/>
        </w:rPr>
        <w:t>☐ Unpaid invoices for capex already delivered and installed.</w:t>
      </w:r>
    </w:p>
    <w:p>
      <w:pPr>
        <w:spacing w:after="60"/>
        <w:ind w:left="240"/>
      </w:pPr>
      <w:r>
        <w:rPr>
          <w:b w:val="0"/>
        </w:rPr>
        <w:t>☐ Deferred compensation owed to founders or executives.</w:t>
      </w:r>
    </w:p>
    <w:p>
      <w:pPr>
        <w:spacing w:after="60"/>
        <w:ind w:left="240"/>
      </w:pPr>
      <w:r>
        <w:rPr>
          <w:b w:val="0"/>
        </w:rPr>
        <w:t>☐ Income taxes payable for pre-closing periods (sized by the tax team).</w:t>
      </w:r>
    </w:p>
    <w:p>
      <w:pPr>
        <w:spacing w:after="60"/>
        <w:ind w:left="240"/>
      </w:pPr>
      <w:r>
        <w:rPr>
          <w:b w:val="0"/>
        </w:rPr>
        <w:t>☐ Environmental remediation estimates.</w:t>
      </w:r>
    </w:p>
    <w:p>
      <w:pPr>
        <w:spacing w:after="60"/>
        <w:ind w:left="240"/>
      </w:pPr>
      <w:r>
        <w:rPr>
          <w:b w:val="0"/>
        </w:rPr>
        <w:t>☐ Litigation settlements agreed but not yet paid.</w:t>
      </w:r>
    </w:p>
    <w:p>
      <w:pPr>
        <w:spacing w:after="60"/>
        <w:ind w:left="240"/>
      </w:pPr>
      <w:r>
        <w:rPr>
          <w:b w:val="0"/>
        </w:rPr>
        <w:t>☐ Deferred revenue for which the cash has already been received and spent.</w:t>
      </w:r>
    </w:p>
    <w:p>
      <w:pPr>
        <w:spacing w:after="60"/>
        <w:ind w:left="240"/>
      </w:pPr>
      <w:r>
        <w:rPr>
          <w:b w:val="0"/>
        </w:rPr>
        <w:t>☐ Pension or other post-employment shortfalls.</w:t>
      </w:r>
    </w:p>
    <w:p>
      <w:pPr>
        <w:spacing w:after="60"/>
        <w:ind w:left="240"/>
      </w:pPr>
      <w:r>
        <w:rPr>
          <w:b w:val="0"/>
        </w:rPr>
        <w:t>☐ Overdue payables that have been stretched beyond normal terms.</w:t>
      </w:r>
    </w:p>
    <w:p>
      <w:pPr>
        <w:spacing w:after="60"/>
        <w:ind w:left="240"/>
      </w:pPr>
      <w:r>
        <w:rPr>
          <w:b w:val="0"/>
        </w:rPr>
        <w:t>☐ Customer rebates or credits owed for past periods, and whether they belong in debt or working capital.</w:t>
      </w:r>
    </w:p>
    <w:p>
      <w:pPr>
        <w:spacing w:after="60"/>
        <w:ind w:left="240"/>
      </w:pPr>
      <w:r>
        <w:rPr>
          <w:b w:val="0"/>
        </w:rPr>
        <w:t>☐ Operating lease liabilities, with a written reason for leaving them out of debt when rent stays in EBITDA under US GAAP.</w:t>
      </w:r>
    </w:p>
    <w:p>
      <w:pPr>
        <w:pStyle w:val="Heading2"/>
      </w:pPr>
      <w:r>
        <w:t>Working capital checklist</w:t>
      </w:r>
    </w:p>
    <w:p>
      <w:pPr>
        <w:spacing w:after="60"/>
        <w:ind w:left="240"/>
      </w:pPr>
      <w:r>
        <w:rPr>
          <w:b w:val="0"/>
        </w:rPr>
        <w:t>☐ Write the definition first: which accounts are in and which are excluded.</w:t>
      </w:r>
    </w:p>
    <w:p>
      <w:pPr>
        <w:spacing w:after="60"/>
        <w:ind w:left="240"/>
      </w:pPr>
      <w:r>
        <w:rPr>
          <w:b w:val="0"/>
        </w:rPr>
        <w:t>☐ Build at least twelve month-end balances, reported and adjusted.</w:t>
      </w:r>
    </w:p>
    <w:p>
      <w:pPr>
        <w:spacing w:after="60"/>
        <w:ind w:left="240"/>
      </w:pPr>
      <w:r>
        <w:rPr>
          <w:b w:val="0"/>
        </w:rPr>
        <w:t>☐ Apply the same adjustments to working capital as to EBITDA, month by month.</w:t>
      </w:r>
    </w:p>
    <w:p>
      <w:pPr>
        <w:spacing w:after="60"/>
        <w:ind w:left="240"/>
      </w:pPr>
      <w:r>
        <w:rPr>
          <w:b w:val="0"/>
        </w:rPr>
        <w:t>☐ Remove cash, debt, debt-like items and income taxes from the balances.</w:t>
      </w:r>
    </w:p>
    <w:p>
      <w:pPr>
        <w:spacing w:after="60"/>
        <w:ind w:left="240"/>
      </w:pPr>
      <w:r>
        <w:rPr>
          <w:b w:val="0"/>
        </w:rPr>
        <w:t>☐ Plot the months and mark the seasonal high and low.</w:t>
      </w:r>
    </w:p>
    <w:p>
      <w:pPr>
        <w:spacing w:after="60"/>
        <w:ind w:left="240"/>
      </w:pPr>
      <w:r>
        <w:rPr>
          <w:b w:val="0"/>
        </w:rPr>
        <w:t>☐ Compare the expected closing month with the average.</w:t>
      </w:r>
    </w:p>
    <w:p>
      <w:pPr>
        <w:spacing w:after="60"/>
        <w:ind w:left="240"/>
      </w:pPr>
      <w:r>
        <w:rPr>
          <w:b w:val="0"/>
        </w:rPr>
        <w:t>☐ Challenge any peg built on a period that captures only the seasonal low.</w:t>
      </w:r>
    </w:p>
    <w:p>
      <w:pPr>
        <w:spacing w:after="60"/>
        <w:ind w:left="240"/>
      </w:pPr>
      <w:r>
        <w:rPr>
          <w:b w:val="0"/>
        </w:rPr>
        <w:t>☐ Cross-check receivable, inventory and payable days against the trend.</w:t>
      </w:r>
    </w:p>
    <w:p>
      <w:pPr>
        <w:spacing w:after="60"/>
        <w:ind w:left="240"/>
      </w:pPr>
      <w:r>
        <w:rPr>
          <w:b w:val="0"/>
        </w:rPr>
        <w:t>☐ Check that the accounting principles in the worksheet match how the peg was built.</w:t>
      </w:r>
    </w:p>
    <w:p>
      <w:pPr>
        <w:spacing w:after="60"/>
        <w:ind w:left="240"/>
      </w:pPr>
      <w:r>
        <w:rPr>
          <w:b w:val="0"/>
        </w:rPr>
        <w:t>☐ Keep a reconciliation from the peg to the trial balance for the closing statement.</w:t>
      </w:r>
    </w:p>
    <w:p>
      <w:pPr>
        <w:pStyle w:val="Heading2"/>
      </w:pPr>
      <w:r>
        <w:t>Report review checklist before sending</w:t>
      </w:r>
    </w:p>
    <w:p>
      <w:pPr>
        <w:spacing w:after="60"/>
        <w:ind w:left="240"/>
      </w:pPr>
      <w:r>
        <w:rPr>
          <w:b w:val="0"/>
        </w:rPr>
        <w:t>☐ Every number in the text matches the databook.</w:t>
      </w:r>
    </w:p>
    <w:p>
      <w:pPr>
        <w:spacing w:after="60"/>
        <w:ind w:left="240"/>
      </w:pPr>
      <w:r>
        <w:rPr>
          <w:b w:val="0"/>
        </w:rPr>
        <w:t>☐ Every table adds up and ties to the bridge.</w:t>
      </w:r>
    </w:p>
    <w:p>
      <w:pPr>
        <w:spacing w:after="60"/>
        <w:ind w:left="240"/>
      </w:pPr>
      <w:r>
        <w:rPr>
          <w:b w:val="0"/>
        </w:rPr>
        <w:t>☐ The executive summary states the headline numbers in the first paragraph.</w:t>
      </w:r>
    </w:p>
    <w:p>
      <w:pPr>
        <w:spacing w:after="60"/>
        <w:ind w:left="240"/>
      </w:pPr>
      <w:r>
        <w:rPr>
          <w:b w:val="0"/>
        </w:rPr>
        <w:t>☐ Each finding gives the amount, the evidence and the consequence for the deal.</w:t>
      </w:r>
    </w:p>
    <w:p>
      <w:pPr>
        <w:spacing w:after="60"/>
        <w:ind w:left="240"/>
      </w:pPr>
      <w:r>
        <w:rPr>
          <w:b w:val="0"/>
        </w:rPr>
        <w:t>☐ Open items are listed as open, with who owes what.</w:t>
      </w:r>
    </w:p>
    <w:p>
      <w:pPr>
        <w:spacing w:after="60"/>
        <w:ind w:left="240"/>
      </w:pPr>
      <w:r>
        <w:rPr>
          <w:b w:val="0"/>
        </w:rPr>
        <w:t>☐ Reported and diligence-adjusted figures are always labeled as such.</w:t>
      </w:r>
    </w:p>
    <w:p>
      <w:pPr>
        <w:spacing w:after="60"/>
        <w:ind w:left="240"/>
      </w:pPr>
      <w:r>
        <w:rPr>
          <w:b w:val="0"/>
        </w:rPr>
        <w:t>☐ Periods and balance sheet dates are stated on every table.</w:t>
      </w:r>
    </w:p>
    <w:p>
      <w:pPr>
        <w:spacing w:after="60"/>
        <w:ind w:left="240"/>
      </w:pPr>
      <w:r>
        <w:rPr>
          <w:b w:val="0"/>
        </w:rPr>
        <w:t>☐ The scope and its limits are described before the findings.</w:t>
      </w:r>
    </w:p>
    <w:p>
      <w:pPr>
        <w:spacing w:after="60"/>
        <w:ind w:left="240"/>
      </w:pPr>
      <w:r>
        <w:rPr>
          <w:b w:val="0"/>
        </w:rPr>
        <w:t>☐ Management's comments on rejected adjustments are reflected fairly.</w:t>
      </w:r>
    </w:p>
    <w:p>
      <w:pPr>
        <w:spacing w:after="60"/>
        <w:ind w:left="240"/>
      </w:pPr>
      <w:r>
        <w:rPr>
          <w:b w:val="0"/>
        </w:rPr>
        <w:t>☐ The reliance and non-reliance language matches the engagement letter.</w:t>
      </w:r>
    </w:p>
    <w:p>
      <w:pPr>
        <w:spacing w:after="60"/>
        <w:ind w:left="240"/>
      </w:pPr>
      <w:r>
        <w:rPr>
          <w:b w:val="0"/>
        </w:rPr>
        <w:t>☐ Names, code names and the distribution list have been checked.</w:t>
      </w:r>
    </w:p>
    <w:p>
      <w:pPr>
        <w:spacing w:after="60"/>
        <w:ind w:left="240"/>
      </w:pPr>
      <w:r>
        <w:rPr>
          <w:b w:val="0"/>
        </w:rPr>
        <w:t>☐ A second reviewer has read the report from start to finish.</w:t>
      </w:r>
    </w:p>
    <w:p>
      <w:pPr>
        <w:pStyle w:val="Heading2"/>
      </w:pPr>
      <w:r>
        <w:t>SPA definitions read-through</w:t>
      </w:r>
    </w:p>
    <w:p>
      <w:pPr>
        <w:spacing w:after="60"/>
        <w:ind w:left="240"/>
      </w:pPr>
      <w:r>
        <w:rPr>
          <w:b w:val="0"/>
        </w:rPr>
        <w:t>☐ Indebtedness: does it list every agreed debt-like item, by name?</w:t>
      </w:r>
    </w:p>
    <w:p>
      <w:pPr>
        <w:spacing w:after="60"/>
        <w:ind w:left="240"/>
      </w:pPr>
      <w:r>
        <w:rPr>
          <w:b w:val="0"/>
        </w:rPr>
        <w:t>☐ Cash: are outstanding checks, trapped cash and deposits dealt with?</w:t>
      </w:r>
    </w:p>
    <w:p>
      <w:pPr>
        <w:spacing w:after="60"/>
        <w:ind w:left="240"/>
      </w:pPr>
      <w:r>
        <w:rPr>
          <w:b w:val="0"/>
        </w:rPr>
        <w:t>☐ Working capital: does the account list match the definition used for the peg?</w:t>
      </w:r>
    </w:p>
    <w:p>
      <w:pPr>
        <w:spacing w:after="60"/>
        <w:ind w:left="240"/>
      </w:pPr>
      <w:r>
        <w:rPr>
          <w:b w:val="0"/>
        </w:rPr>
        <w:t>☐ Accounting principles: is there a worksheet, and does it name the rebate accrual method and the reserve policy?</w:t>
      </w:r>
    </w:p>
    <w:p>
      <w:pPr>
        <w:spacing w:after="60"/>
        <w:ind w:left="240"/>
      </w:pPr>
      <w:r>
        <w:rPr>
          <w:b w:val="0"/>
        </w:rPr>
        <w:t>☐ Target working capital: is the number in the agreement the agreed peg?</w:t>
      </w:r>
    </w:p>
    <w:p>
      <w:pPr>
        <w:spacing w:after="60"/>
        <w:ind w:left="240"/>
      </w:pPr>
      <w:r>
        <w:rPr>
          <w:b w:val="0"/>
        </w:rPr>
        <w:t>☐ Illustrative closing statement: does it recompute correctly from the definitions?</w:t>
      </w:r>
    </w:p>
    <w:p>
      <w:pPr>
        <w:spacing w:after="60"/>
        <w:ind w:left="240"/>
      </w:pPr>
      <w:r>
        <w:rPr>
          <w:b w:val="0"/>
        </w:rPr>
        <w:t>☐ Transaction expenses: are bonuses and seller costs kept out of working capital?</w:t>
      </w:r>
    </w:p>
    <w:p>
      <w:pPr>
        <w:spacing w:after="60"/>
        <w:ind w:left="240"/>
      </w:pPr>
      <w:r>
        <w:rPr>
          <w:b w:val="0"/>
        </w:rPr>
        <w:t>☐ Review and dispute timetable: dates, review period and who resolves a disagreement.</w:t>
      </w:r>
    </w:p>
    <w:p>
      <w:r>
        <w:t>Julian R. Sterling, The Financial Due Diligence Associate. A working aid, not accounting, legal, tax or investment advice.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Financial Due Diligence Associate: The FDD Associate's Toolkit</dc:title>
  <dc:subject/>
  <dc:creator>Julian R. Sterling</dc:creator>
  <cp:keywords/>
  <dc:description>generated by python-docx</dc:description>
  <cp:lastModifiedBy/>
  <cp:revision>1</cp:revision>
  <dcterms:created xsi:type="dcterms:W3CDTF">2013-12-23T23:15:00Z</dcterms:created>
  <dcterms:modified xsi:type="dcterms:W3CDTF">2013-12-23T23:15:00Z</dcterms:modified>
  <cp:category/>
  <dc:language>en-US</dc:language>
</cp:coreProperties>
</file>