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Rating Analyst's Toolkit</w:t>
      </w:r>
    </w:p>
    <w:p>
      <w:r>
        <w:rPr>
          <w:b w:val="0"/>
        </w:rPr>
        <w:t>These are the working lists I would give a new associate on their first day in the corporate team. They follow the order of the job and use Kestrel Bay's methodology, a simplified teaching version. Where your agency's procedures differ, your agency's rules apply. Regulatory points are general and dated, and they are not legal advice: on any legal question, ask the compliance officer or counsel. Each list points to the chapter that explains it.</w:t>
      </w:r>
    </w:p>
    <w:p>
      <w:pPr>
        <w:pStyle w:val="Heading2"/>
      </w:pPr>
      <w:r>
        <w:t>New rating information request</w:t>
      </w:r>
    </w:p>
    <w:p>
      <w:r>
        <w:rPr>
          <w:b w:val="0"/>
        </w:rPr>
        <w:t>Ask for this before the management meeting (chapter 9). Send it early, because an issuer's first pack is usually incomplete.</w:t>
      </w:r>
    </w:p>
    <w:p>
      <w:pPr>
        <w:spacing w:after="60"/>
        <w:ind w:left="240"/>
      </w:pPr>
      <w:r>
        <w:rPr>
          <w:b w:val="0"/>
        </w:rPr>
        <w:t>☐ Audited financial statements for the last three fiscal years, with all notes.</w:t>
      </w:r>
    </w:p>
    <w:p>
      <w:pPr>
        <w:spacing w:after="60"/>
        <w:ind w:left="240"/>
      </w:pPr>
      <w:r>
        <w:rPr>
          <w:b w:val="0"/>
        </w:rPr>
        <w:t>☐ The latest interim accounts and year-to-date management accounts.</w:t>
      </w:r>
    </w:p>
    <w:p>
      <w:pPr>
        <w:spacing w:after="60"/>
        <w:ind w:left="240"/>
      </w:pPr>
      <w:r>
        <w:rPr>
          <w:b w:val="0"/>
        </w:rPr>
        <w:t>☐ Management's business plan for the next three years, with every main assumption written out.</w:t>
      </w:r>
    </w:p>
    <w:p>
      <w:pPr>
        <w:spacing w:after="60"/>
        <w:ind w:left="240"/>
      </w:pPr>
      <w:r>
        <w:rPr>
          <w:b w:val="0"/>
        </w:rPr>
        <w:t>☐ Revenue, EBITDA and capital expenditure by business line, product family and region.</w:t>
      </w:r>
    </w:p>
    <w:p>
      <w:pPr>
        <w:spacing w:after="60"/>
        <w:ind w:left="240"/>
      </w:pPr>
      <w:r>
        <w:rPr>
          <w:b w:val="0"/>
        </w:rPr>
        <w:t>☐ The top customers, each one's share of revenue, and the terms of the main contracts.</w:t>
      </w:r>
    </w:p>
    <w:p>
      <w:pPr>
        <w:spacing w:after="60"/>
        <w:ind w:left="240"/>
      </w:pPr>
      <w:r>
        <w:rPr>
          <w:b w:val="0"/>
        </w:rPr>
        <w:t>☐ Input cost exposure and how costs pass through to customers, including the timing lag.</w:t>
      </w:r>
    </w:p>
    <w:p>
      <w:pPr>
        <w:spacing w:after="60"/>
        <w:ind w:left="240"/>
      </w:pPr>
      <w:r>
        <w:rPr>
          <w:b w:val="0"/>
        </w:rPr>
        <w:t>☐ A debt schedule: amount, maturity, coupon, security, guarantors and covenants for each facility.</w:t>
      </w:r>
    </w:p>
    <w:p>
      <w:pPr>
        <w:spacing w:after="60"/>
        <w:ind w:left="240"/>
      </w:pPr>
      <w:r>
        <w:rPr>
          <w:b w:val="0"/>
        </w:rPr>
        <w:t>☐ The credit agreement, the indentures and any intercreditor agreement.</w:t>
      </w:r>
    </w:p>
    <w:p>
      <w:pPr>
        <w:spacing w:after="60"/>
        <w:ind w:left="240"/>
      </w:pPr>
      <w:r>
        <w:rPr>
          <w:b w:val="0"/>
        </w:rPr>
        <w:t>☐ Lease commitments, lease liabilities and the annual lease cost.</w:t>
      </w:r>
    </w:p>
    <w:p>
      <w:pPr>
        <w:spacing w:after="60"/>
        <w:ind w:left="240"/>
      </w:pPr>
      <w:r>
        <w:rPr>
          <w:b w:val="0"/>
        </w:rPr>
        <w:t>☐ Pensions: funded status, main actuarial assumptions and expected cash contributions.</w:t>
      </w:r>
    </w:p>
    <w:p>
      <w:pPr>
        <w:spacing w:after="60"/>
        <w:ind w:left="240"/>
      </w:pPr>
      <w:r>
        <w:rPr>
          <w:b w:val="0"/>
        </w:rPr>
        <w:t>☐ Cash by location, restricted cash, and the minimum cash needed to run the business.</w:t>
      </w:r>
    </w:p>
    <w:p>
      <w:pPr>
        <w:spacing w:after="60"/>
        <w:ind w:left="240"/>
      </w:pPr>
      <w:r>
        <w:rPr>
          <w:b w:val="0"/>
        </w:rPr>
        <w:t>☐ Restructuring and integration costs by year, what they were and whether they recur.</w:t>
      </w:r>
    </w:p>
    <w:p>
      <w:pPr>
        <w:spacing w:after="60"/>
        <w:ind w:left="240"/>
      </w:pPr>
      <w:r>
        <w:rPr>
          <w:b w:val="0"/>
        </w:rPr>
        <w:t>☐ Financial policy: leverage target, dividend policy, buyback history and appetite for acquisitions.</w:t>
      </w:r>
    </w:p>
    <w:p>
      <w:pPr>
        <w:spacing w:after="60"/>
        <w:ind w:left="240"/>
      </w:pPr>
      <w:r>
        <w:rPr>
          <w:b w:val="0"/>
        </w:rPr>
        <w:t>☐ Ownership, board composition and governance arrangements.</w:t>
      </w:r>
    </w:p>
    <w:p>
      <w:pPr>
        <w:spacing w:after="60"/>
        <w:ind w:left="240"/>
      </w:pPr>
      <w:r>
        <w:rPr>
          <w:b w:val="0"/>
        </w:rPr>
        <w:t>☐ Litigation, environmental and other contingent liabilities, with management's estimates.</w:t>
      </w:r>
    </w:p>
    <w:p>
      <w:pPr>
        <w:pStyle w:val="Heading2"/>
      </w:pPr>
      <w:r>
        <w:t>Management meeting agenda</w:t>
      </w:r>
    </w:p>
    <w:p>
      <w:r>
        <w:rPr>
          <w:b w:val="0"/>
        </w:rPr>
        <w:t>In the case, the first meeting took half a day with the chief executive, the chief financial officer and the treasurer. Send the agenda in advance so the right people attend.</w:t>
      </w:r>
    </w:p>
    <w:p>
      <w:pPr>
        <w:spacing w:after="60"/>
        <w:ind w:left="240"/>
      </w:pPr>
      <w:r>
        <w:rPr>
          <w:b w:val="0"/>
        </w:rPr>
        <w:t>☐ Strategy, and the company's position in each main market.</w:t>
      </w:r>
    </w:p>
    <w:p>
      <w:pPr>
        <w:spacing w:after="60"/>
        <w:ind w:left="240"/>
      </w:pPr>
      <w:r>
        <w:rPr>
          <w:b w:val="0"/>
        </w:rPr>
        <w:t>☐ The industry outlook: demand, pricing, capacity and competitors.</w:t>
      </w:r>
    </w:p>
    <w:p>
      <w:pPr>
        <w:spacing w:after="60"/>
        <w:ind w:left="240"/>
      </w:pPr>
      <w:r>
        <w:rPr>
          <w:b w:val="0"/>
        </w:rPr>
        <w:t>☐ Customers: concentration, renewals and recent wins or losses.</w:t>
      </w:r>
    </w:p>
    <w:p>
      <w:pPr>
        <w:spacing w:after="60"/>
        <w:ind w:left="240"/>
      </w:pPr>
      <w:r>
        <w:rPr>
          <w:b w:val="0"/>
        </w:rPr>
        <w:t>☐ The cost structure, input costs and how quickly price increases reach customers.</w:t>
      </w:r>
    </w:p>
    <w:p>
      <w:pPr>
        <w:spacing w:after="60"/>
        <w:ind w:left="240"/>
      </w:pPr>
      <w:r>
        <w:rPr>
          <w:b w:val="0"/>
        </w:rPr>
        <w:t>☐ Operations: plants, utilization, the capital spending program and maintenance needs.</w:t>
      </w:r>
    </w:p>
    <w:p>
      <w:pPr>
        <w:spacing w:after="60"/>
        <w:ind w:left="240"/>
      </w:pPr>
      <w:r>
        <w:rPr>
          <w:b w:val="0"/>
        </w:rPr>
        <w:t>☐ Recent performance against budget, and the reasons for any gap.</w:t>
      </w:r>
    </w:p>
    <w:p>
      <w:pPr>
        <w:spacing w:after="60"/>
        <w:ind w:left="240"/>
      </w:pPr>
      <w:r>
        <w:rPr>
          <w:b w:val="0"/>
        </w:rPr>
        <w:t>☐ The business plan, assumption by assumption, ending with the cases management considers downside.</w:t>
      </w:r>
    </w:p>
    <w:p>
      <w:pPr>
        <w:spacing w:after="60"/>
        <w:ind w:left="240"/>
      </w:pPr>
      <w:r>
        <w:rPr>
          <w:b w:val="0"/>
        </w:rPr>
        <w:t>☐ Financial policy: the leverage target, how firmly the board holds it, and how dividends and buybacks are decided.</w:t>
      </w:r>
    </w:p>
    <w:p>
      <w:pPr>
        <w:spacing w:after="60"/>
        <w:ind w:left="240"/>
      </w:pPr>
      <w:r>
        <w:rPr>
          <w:b w:val="0"/>
        </w:rPr>
        <w:t>☐ Acquisitions and disposals under consideration.</w:t>
      </w:r>
    </w:p>
    <w:p>
      <w:pPr>
        <w:spacing w:after="60"/>
        <w:ind w:left="240"/>
      </w:pPr>
      <w:r>
        <w:rPr>
          <w:b w:val="0"/>
        </w:rPr>
        <w:t>☐ Liquidity: the revolving credit facility, upcoming maturities and market access.</w:t>
      </w:r>
    </w:p>
    <w:p>
      <w:pPr>
        <w:spacing w:after="60"/>
        <w:ind w:left="240"/>
      </w:pPr>
      <w:r>
        <w:rPr>
          <w:b w:val="0"/>
        </w:rPr>
        <w:t>☐ Governance, risk management and the controls behind the reported numbers.</w:t>
      </w:r>
    </w:p>
    <w:p>
      <w:pPr>
        <w:spacing w:after="60"/>
        <w:ind w:left="240"/>
      </w:pPr>
      <w:r>
        <w:rPr>
          <w:b w:val="0"/>
        </w:rPr>
        <w:t>☐ Next steps: outstanding information, the timetable to committee, and the analyst's contact. (Fees are never on this agenda. The commercial team handles them.)</w:t>
      </w:r>
    </w:p>
    <w:p>
      <w:pPr>
        <w:pStyle w:val="Heading2"/>
      </w:pPr>
      <w:r>
        <w:t>Adjusted metrics checklist</w:t>
      </w:r>
    </w:p>
    <w:p>
      <w:r>
        <w:rPr>
          <w:b w:val="0"/>
        </w:rPr>
        <w:t>Use this list each time you rebuild metrics from published accounts (chapter 5).</w:t>
      </w:r>
    </w:p>
    <w:p>
      <w:pPr>
        <w:spacing w:after="60"/>
        <w:ind w:left="240"/>
      </w:pPr>
      <w:r>
        <w:rPr>
          <w:b w:val="0"/>
        </w:rPr>
        <w:t>☐ Tie reported EBITDA to the audited income statement and cash flow statement before adjusting anything.</w:t>
      </w:r>
    </w:p>
    <w:p>
      <w:pPr>
        <w:spacing w:after="60"/>
        <w:ind w:left="240"/>
      </w:pPr>
      <w:r>
        <w:rPr>
          <w:b w:val="0"/>
        </w:rPr>
        <w:t>☐ Add back the operating lease cost. In the case, it was $40 million a year from 2022 to 2024 and $52 million from 2025.</w:t>
      </w:r>
    </w:p>
    <w:p>
      <w:pPr>
        <w:spacing w:after="60"/>
        <w:ind w:left="240"/>
      </w:pPr>
      <w:r>
        <w:rPr>
          <w:b w:val="0"/>
        </w:rPr>
        <w:t>☐ Test every cost described as "one-off". If it appears every year, it stays in.</w:t>
      </w:r>
    </w:p>
    <w:p>
      <w:pPr>
        <w:spacing w:after="60"/>
        <w:ind w:left="240"/>
      </w:pPr>
      <w:r>
        <w:rPr>
          <w:b w:val="0"/>
        </w:rPr>
        <w:t>☐ Write the reconciliation down. In the case for FY2025: reported EBITDA $555 million, restructuring and integration costs $45 million, management's adjusted EBITDA $600 million, Kestrel Bay adjusted EBITDA $607 million.</w:t>
      </w:r>
    </w:p>
    <w:p>
      <w:pPr>
        <w:spacing w:after="60"/>
        <w:ind w:left="240"/>
      </w:pPr>
      <w:r>
        <w:rPr>
          <w:b w:val="0"/>
        </w:rPr>
        <w:t>☐ Start adjusted debt from total reported debt, including older bank debt and other borrowings.</w:t>
      </w:r>
    </w:p>
    <w:p>
      <w:pPr>
        <w:spacing w:after="60"/>
        <w:ind w:left="240"/>
      </w:pPr>
      <w:r>
        <w:rPr>
          <w:b w:val="0"/>
        </w:rPr>
        <w:t>☐ Add lease liabilities.</w:t>
      </w:r>
    </w:p>
    <w:p>
      <w:pPr>
        <w:spacing w:after="60"/>
        <w:ind w:left="240"/>
      </w:pPr>
      <w:r>
        <w:rPr>
          <w:b w:val="0"/>
        </w:rPr>
        <w:t>☐ Add the unfunded pension deficit.</w:t>
      </w:r>
    </w:p>
    <w:p>
      <w:pPr>
        <w:spacing w:after="60"/>
        <w:ind w:left="240"/>
      </w:pPr>
      <w:r>
        <w:rPr>
          <w:b w:val="0"/>
        </w:rPr>
        <w:t>☐ Deduct only surplus cash, meaning cash above what the business needs to run ($75 million in the case).</w:t>
      </w:r>
    </w:p>
    <w:p>
      <w:pPr>
        <w:spacing w:after="60"/>
        <w:ind w:left="240"/>
      </w:pPr>
      <w:r>
        <w:rPr>
          <w:b w:val="0"/>
        </w:rPr>
        <w:t>☐ Show the sum. For FY2025 in the case: 2,000 + 225 + 95 - 85 = 2,235.</w:t>
      </w:r>
    </w:p>
    <w:p>
      <w:pPr>
        <w:spacing w:after="60"/>
        <w:ind w:left="240"/>
      </w:pPr>
      <w:r>
        <w:rPr>
          <w:b w:val="0"/>
        </w:rPr>
        <w:t>☐ Build FFO, FOCF and DCF in sequence, using cash interest and cash taxes, not the expense lines.</w:t>
      </w:r>
    </w:p>
    <w:p>
      <w:pPr>
        <w:spacing w:after="60"/>
        <w:ind w:left="240"/>
      </w:pPr>
      <w:r>
        <w:rPr>
          <w:b w:val="0"/>
        </w:rPr>
        <w:t>☐ Calculate adjusted leverage, FFO to debt and interest cover for every actual and forecast year.</w:t>
      </w:r>
    </w:p>
    <w:p>
      <w:pPr>
        <w:spacing w:after="60"/>
        <w:ind w:left="240"/>
      </w:pPr>
      <w:r>
        <w:rPr>
          <w:b w:val="0"/>
        </w:rPr>
        <w:t>☐ Record each difference from management's figures, so you can explain it to the chief financial officer.</w:t>
      </w:r>
    </w:p>
    <w:p>
      <w:pPr>
        <w:pStyle w:val="Heading2"/>
      </w:pPr>
      <w:r>
        <w:t>Base case and downside checklist</w:t>
      </w:r>
    </w:p>
    <w:p>
      <w:r>
        <w:rPr>
          <w:b w:val="0"/>
        </w:rPr>
        <w:t>Use this list when building the forecast (chapter 6).</w:t>
      </w:r>
    </w:p>
    <w:p>
      <w:pPr>
        <w:spacing w:after="60"/>
        <w:ind w:left="240"/>
      </w:pPr>
      <w:r>
        <w:rPr>
          <w:b w:val="0"/>
        </w:rPr>
        <w:t>☐ Start from management's plan and mark each assumption you accept, change or reject.</w:t>
      </w:r>
    </w:p>
    <w:p>
      <w:pPr>
        <w:spacing w:after="60"/>
        <w:ind w:left="240"/>
      </w:pPr>
      <w:r>
        <w:rPr>
          <w:b w:val="0"/>
        </w:rPr>
        <w:t>☐ Cut synergies and push their timing later, then write down why.</w:t>
      </w:r>
    </w:p>
    <w:p>
      <w:pPr>
        <w:spacing w:after="60"/>
        <w:ind w:left="240"/>
      </w:pPr>
      <w:r>
        <w:rPr>
          <w:b w:val="0"/>
        </w:rPr>
        <w:t>☐ Set volumes and prices separately. A single growth rate hides both.</w:t>
      </w:r>
    </w:p>
    <w:p>
      <w:pPr>
        <w:spacing w:after="60"/>
        <w:ind w:left="240"/>
      </w:pPr>
      <w:r>
        <w:rPr>
          <w:b w:val="0"/>
        </w:rPr>
        <w:t>☐ Model the input cost lag explicitly. In the case, the lag was about two quarters.</w:t>
      </w:r>
    </w:p>
    <w:p>
      <w:pPr>
        <w:spacing w:after="60"/>
        <w:ind w:left="240"/>
      </w:pPr>
      <w:r>
        <w:rPr>
          <w:b w:val="0"/>
        </w:rPr>
        <w:t>☐ Forecast working capital as a line of its own. In the case, FY2025 had an outflow of $80 million.</w:t>
      </w:r>
    </w:p>
    <w:p>
      <w:pPr>
        <w:spacing w:after="60"/>
        <w:ind w:left="240"/>
      </w:pPr>
      <w:r>
        <w:rPr>
          <w:b w:val="0"/>
        </w:rPr>
        <w:t>☐ Set capital expenditure from the company's actual program. In the case, FY2025 capex was $250 million.</w:t>
      </w:r>
    </w:p>
    <w:p>
      <w:pPr>
        <w:spacing w:after="60"/>
        <w:ind w:left="240"/>
      </w:pPr>
      <w:r>
        <w:rPr>
          <w:b w:val="0"/>
        </w:rPr>
        <w:t>☐ Keep dividends and buybacks at the level the board has committed to, not the level that flatters the numbers.</w:t>
      </w:r>
    </w:p>
    <w:p>
      <w:pPr>
        <w:spacing w:after="60"/>
        <w:ind w:left="240"/>
      </w:pPr>
      <w:r>
        <w:rPr>
          <w:b w:val="0"/>
        </w:rPr>
        <w:t>☐ Let debt repayment follow from the cash flows. Never type it in as an assumption.</w:t>
      </w:r>
    </w:p>
    <w:p>
      <w:pPr>
        <w:spacing w:after="60"/>
        <w:ind w:left="240"/>
      </w:pPr>
      <w:r>
        <w:rPr>
          <w:b w:val="0"/>
        </w:rPr>
        <w:t>☐ Compare the new base case with the last one and with actual results. In the case, the January 2025 base case had 2025 at 3.13x, and the actual figure was 3.68x.</w:t>
      </w:r>
    </w:p>
    <w:p>
      <w:pPr>
        <w:spacing w:after="60"/>
        <w:ind w:left="240"/>
      </w:pPr>
      <w:r>
        <w:rPr>
          <w:b w:val="0"/>
        </w:rPr>
        <w:t>☐ Build a downside that could plausibly happen and test it against the triggers. In the case, the May 2026 downside put 2026 at 4.18x.</w:t>
      </w:r>
    </w:p>
    <w:p>
      <w:pPr>
        <w:pStyle w:val="Heading2"/>
      </w:pPr>
      <w:r>
        <w:t>Committee package checklist</w:t>
      </w:r>
    </w:p>
    <w:p>
      <w:r>
        <w:rPr>
          <w:b w:val="0"/>
        </w:rPr>
        <w:t>The package goes out at least two business days before the meeting (chapter 10).</w:t>
      </w:r>
    </w:p>
    <w:p>
      <w:pPr>
        <w:spacing w:after="60"/>
        <w:ind w:left="240"/>
      </w:pPr>
      <w:r>
        <w:rPr>
          <w:b w:val="0"/>
        </w:rPr>
        <w:t>☐ The recommendation: issuer rating, outlook, issue ratings and the proposed action.</w:t>
      </w:r>
    </w:p>
    <w:p>
      <w:pPr>
        <w:spacing w:after="60"/>
        <w:ind w:left="240"/>
      </w:pPr>
      <w:r>
        <w:rPr>
          <w:b w:val="0"/>
        </w:rPr>
        <w:t>☐ A rationale of one to two pages that leads with drivers, not a description of the company.</w:t>
      </w:r>
    </w:p>
    <w:p>
      <w:pPr>
        <w:spacing w:after="60"/>
        <w:ind w:left="240"/>
      </w:pPr>
      <w:r>
        <w:rPr>
          <w:b w:val="0"/>
        </w:rPr>
        <w:t>☐ The scorecard: business risk, financial risk, the anchor from the matrix, and each modifier.</w:t>
      </w:r>
    </w:p>
    <w:p>
      <w:pPr>
        <w:spacing w:after="60"/>
        <w:ind w:left="240"/>
      </w:pPr>
      <w:r>
        <w:rPr>
          <w:b w:val="0"/>
        </w:rPr>
        <w:t>☐ A metrics table for the last actual years and the forecast years.</w:t>
      </w:r>
    </w:p>
    <w:p>
      <w:pPr>
        <w:spacing w:after="60"/>
        <w:ind w:left="240"/>
      </w:pPr>
      <w:r>
        <w:rPr>
          <w:b w:val="0"/>
        </w:rPr>
        <w:t>☐ The base case, management's plan and the downside, side by side.</w:t>
      </w:r>
    </w:p>
    <w:p>
      <w:pPr>
        <w:spacing w:after="60"/>
        <w:ind w:left="240"/>
      </w:pPr>
      <w:r>
        <w:rPr>
          <w:b w:val="0"/>
        </w:rPr>
        <w:t>☐ The peer comparison, as a check on consistency, not a vote.</w:t>
      </w:r>
    </w:p>
    <w:p>
      <w:pPr>
        <w:spacing w:after="60"/>
        <w:ind w:left="240"/>
      </w:pPr>
      <w:r>
        <w:rPr>
          <w:b w:val="0"/>
        </w:rPr>
        <w:t>☐ An argument for every modifier applied or rejected.</w:t>
      </w:r>
    </w:p>
    <w:p>
      <w:pPr>
        <w:spacing w:after="60"/>
        <w:ind w:left="240"/>
      </w:pPr>
      <w:r>
        <w:rPr>
          <w:b w:val="0"/>
        </w:rPr>
        <w:t>☐ Issue ratings, with the priority and recovery analysis behind any notching.</w:t>
      </w:r>
    </w:p>
    <w:p>
      <w:pPr>
        <w:spacing w:after="60"/>
        <w:ind w:left="240"/>
      </w:pPr>
      <w:r>
        <w:rPr>
          <w:b w:val="0"/>
        </w:rPr>
        <w:t>☐ Upgrade and downgrade triggers stated as numbers that can be tested.</w:t>
      </w:r>
    </w:p>
    <w:p>
      <w:pPr>
        <w:spacing w:after="60"/>
        <w:ind w:left="240"/>
      </w:pPr>
      <w:r>
        <w:rPr>
          <w:b w:val="0"/>
        </w:rPr>
        <w:t>☐ The strongest case against your recommendation, written as a dissenting member would put it.</w:t>
      </w:r>
    </w:p>
    <w:p>
      <w:pPr>
        <w:spacing w:after="60"/>
        <w:ind w:left="240"/>
      </w:pPr>
      <w:r>
        <w:rPr>
          <w:b w:val="0"/>
        </w:rPr>
        <w:t>☐ The methodology and the version used.</w:t>
      </w:r>
    </w:p>
    <w:p>
      <w:pPr>
        <w:spacing w:after="60"/>
        <w:ind w:left="240"/>
      </w:pPr>
      <w:r>
        <w:rPr>
          <w:b w:val="0"/>
        </w:rPr>
        <w:t>☐ A check that the committee is properly composed: at least five voting members in the case, members from more than one sector team, and, under SEC Rule 17g-9 as of 15 October 2026, at least one person with not less than three years of experience in credit analysis.</w:t>
      </w:r>
    </w:p>
    <w:p>
      <w:pPr>
        <w:pStyle w:val="Heading2"/>
      </w:pPr>
      <w:r>
        <w:t>Press release checklist</w:t>
      </w:r>
    </w:p>
    <w:p>
      <w:r>
        <w:rPr>
          <w:b w:val="0"/>
        </w:rPr>
        <w:t>Use this list after the committee votes (chapter 11).</w:t>
      </w:r>
    </w:p>
    <w:p>
      <w:pPr>
        <w:spacing w:after="60"/>
        <w:ind w:left="240"/>
      </w:pPr>
      <w:r>
        <w:rPr>
          <w:b w:val="0"/>
        </w:rPr>
        <w:t>☐ A headline that states the action and the ratings.</w:t>
      </w:r>
    </w:p>
    <w:p>
      <w:pPr>
        <w:spacing w:after="60"/>
        <w:ind w:left="240"/>
      </w:pPr>
      <w:r>
        <w:rPr>
          <w:b w:val="0"/>
        </w:rPr>
        <w:t>☐ A summary paragraph a reader can stop after.</w:t>
      </w:r>
    </w:p>
    <w:p>
      <w:pPr>
        <w:spacing w:after="60"/>
        <w:ind w:left="240"/>
      </w:pPr>
      <w:r>
        <w:rPr>
          <w:b w:val="0"/>
        </w:rPr>
        <w:t>☐ A rationale built on the key drivers: leverage, cash flow, financial policy, business strength.</w:t>
      </w:r>
    </w:p>
    <w:p>
      <w:pPr>
        <w:spacing w:after="60"/>
        <w:ind w:left="240"/>
      </w:pPr>
      <w:r>
        <w:rPr>
          <w:b w:val="0"/>
        </w:rPr>
        <w:t>☐ The outlook, with the reason it was chosen.</w:t>
      </w:r>
    </w:p>
    <w:p>
      <w:pPr>
        <w:spacing w:after="60"/>
        <w:ind w:left="240"/>
      </w:pPr>
      <w:r>
        <w:rPr>
          <w:b w:val="0"/>
        </w:rPr>
        <w:t>☐ Triggers written as numbers and time frames that can be checked later.</w:t>
      </w:r>
    </w:p>
    <w:p>
      <w:pPr>
        <w:spacing w:after="60"/>
        <w:ind w:left="240"/>
      </w:pPr>
      <w:r>
        <w:rPr>
          <w:b w:val="0"/>
        </w:rPr>
        <w:t>☐ Issue ratings, with the recovery and notching reasons.</w:t>
      </w:r>
    </w:p>
    <w:p>
      <w:pPr>
        <w:spacing w:after="60"/>
        <w:ind w:left="240"/>
      </w:pPr>
      <w:r>
        <w:rPr>
          <w:b w:val="0"/>
        </w:rPr>
        <w:t>☐ The methodology and its version, with links.</w:t>
      </w:r>
    </w:p>
    <w:p>
      <w:pPr>
        <w:spacing w:after="60"/>
        <w:ind w:left="240"/>
      </w:pPr>
      <w:r>
        <w:rPr>
          <w:b w:val="0"/>
        </w:rPr>
        <w:t>☐ Regulatory disclosures, including the Rule 17g-7 form (required with each rating action since June 2015) and the EU forms.</w:t>
      </w:r>
    </w:p>
    <w:p>
      <w:pPr>
        <w:spacing w:after="60"/>
        <w:ind w:left="240"/>
      </w:pPr>
      <w:r>
        <w:rPr>
          <w:b w:val="0"/>
        </w:rPr>
        <w:t>☐ Contact lines for the lead analyst and the committee chair.</w:t>
      </w:r>
    </w:p>
    <w:p>
      <w:pPr>
        <w:spacing w:after="60"/>
        <w:ind w:left="240"/>
      </w:pPr>
      <w:r>
        <w:rPr>
          <w:b w:val="0"/>
        </w:rPr>
        <w:t>☐ A check that every number matches the minutes and the model, and that the issuer had the chance to point out factual errors before publication. Under the CRA Regulation, consulted 15 October 2026, the issuer gets at least a full working day.</w:t>
      </w:r>
    </w:p>
    <w:p>
      <w:pPr>
        <w:pStyle w:val="Heading2"/>
      </w:pPr>
      <w:r>
        <w:t>Surveillance quarterly checklist</w:t>
      </w:r>
    </w:p>
    <w:p>
      <w:r>
        <w:rPr>
          <w:b w:val="0"/>
        </w:rPr>
        <w:t>Use this list after each quarterly result (chapter 13).</w:t>
      </w:r>
    </w:p>
    <w:p>
      <w:pPr>
        <w:spacing w:after="60"/>
        <w:ind w:left="240"/>
      </w:pPr>
      <w:r>
        <w:rPr>
          <w:b w:val="0"/>
        </w:rPr>
        <w:t>☐ Read the results the day they come out, including the notes and the cash flow statement.</w:t>
      </w:r>
    </w:p>
    <w:p>
      <w:pPr>
        <w:spacing w:after="60"/>
        <w:ind w:left="240"/>
      </w:pPr>
      <w:r>
        <w:rPr>
          <w:b w:val="0"/>
        </w:rPr>
        <w:t>☐ Load the actual figures into the model and roll the year to date forward.</w:t>
      </w:r>
    </w:p>
    <w:p>
      <w:pPr>
        <w:spacing w:after="60"/>
        <w:ind w:left="240"/>
      </w:pPr>
      <w:r>
        <w:rPr>
          <w:b w:val="0"/>
        </w:rPr>
        <w:t>☐ Compare them with the base case, allowing for seasonality. In the case, first-half 2026 reported EBITDA was $248 million against the base case's $510 million for the full year, with the second half seasonally stronger.</w:t>
      </w:r>
    </w:p>
    <w:p>
      <w:pPr>
        <w:spacing w:after="60"/>
        <w:ind w:left="240"/>
      </w:pPr>
      <w:r>
        <w:rPr>
          <w:b w:val="0"/>
        </w:rPr>
        <w:t>☐ Update the one-page dashboard of triggers.</w:t>
      </w:r>
    </w:p>
    <w:p>
      <w:pPr>
        <w:spacing w:after="60"/>
        <w:ind w:left="240"/>
      </w:pPr>
      <w:r>
        <w:rPr>
          <w:b w:val="0"/>
        </w:rPr>
        <w:t>☐ Check liquidity: revolver availability, maturities and covenant headroom.</w:t>
      </w:r>
    </w:p>
    <w:p>
      <w:pPr>
        <w:spacing w:after="60"/>
        <w:ind w:left="240"/>
      </w:pPr>
      <w:r>
        <w:rPr>
          <w:b w:val="0"/>
        </w:rPr>
        <w:t>☐ Note financial policy events: dividends, buybacks, acquisitions or a change in guidance.</w:t>
      </w:r>
    </w:p>
    <w:p>
      <w:pPr>
        <w:spacing w:after="60"/>
        <w:ind w:left="240"/>
      </w:pPr>
      <w:r>
        <w:rPr>
          <w:b w:val="0"/>
        </w:rPr>
        <w:t>☐ Read the earnings call transcript for changes in tone as well as in numbers.</w:t>
      </w:r>
    </w:p>
    <w:p>
      <w:pPr>
        <w:spacing w:after="60"/>
        <w:ind w:left="240"/>
      </w:pPr>
      <w:r>
        <w:rPr>
          <w:b w:val="0"/>
        </w:rPr>
        <w:t>☐ Read the results of sector peers.</w:t>
      </w:r>
    </w:p>
    <w:p>
      <w:pPr>
        <w:spacing w:after="60"/>
        <w:ind w:left="240"/>
      </w:pPr>
      <w:r>
        <w:rPr>
          <w:b w:val="0"/>
        </w:rPr>
        <w:t>☐ Write the surveillance note, even when nothing has changed.</w:t>
      </w:r>
    </w:p>
    <w:p>
      <w:pPr>
        <w:spacing w:after="60"/>
        <w:ind w:left="240"/>
      </w:pPr>
      <w:r>
        <w:rPr>
          <w:b w:val="0"/>
        </w:rPr>
        <w:t>☐ If a trigger is in play, ask the sector head for a committee. A rating moves only by committee decision. Record the date of the next annual review.</w:t>
      </w:r>
    </w:p>
    <w:p>
      <w:pPr>
        <w:pStyle w:val="Heading2"/>
      </w:pPr>
      <w:r>
        <w:t>Event risk first-week checklist</w:t>
      </w:r>
    </w:p>
    <w:p>
      <w:r>
        <w:rPr>
          <w:b w:val="0"/>
        </w:rPr>
        <w:t>Use this list when an acquisition, buyout or recapitalization is announced (chapter 12).</w:t>
      </w:r>
    </w:p>
    <w:p>
      <w:pPr>
        <w:spacing w:after="60"/>
        <w:ind w:left="240"/>
      </w:pPr>
      <w:r>
        <w:rPr>
          <w:b w:val="0"/>
        </w:rPr>
        <w:t>☐ Get the facts from the issuer: price, funding, timetable and conditions.</w:t>
      </w:r>
    </w:p>
    <w:p>
      <w:pPr>
        <w:spacing w:after="60"/>
        <w:ind w:left="240"/>
      </w:pPr>
      <w:r>
        <w:rPr>
          <w:b w:val="0"/>
        </w:rPr>
        <w:t>☐ Call the chief financial officer or the treasurer the same day. Listen and ask questions. Give no view.</w:t>
      </w:r>
    </w:p>
    <w:p>
      <w:pPr>
        <w:spacing w:after="60"/>
        <w:ind w:left="240"/>
      </w:pPr>
      <w:r>
        <w:rPr>
          <w:b w:val="0"/>
        </w:rPr>
        <w:t>☐ Build pro forma metrics. In the case, the pro forma figure was 3.32x against 1.84x for Thornvale alone.</w:t>
      </w:r>
    </w:p>
    <w:p>
      <w:pPr>
        <w:spacing w:after="60"/>
        <w:ind w:left="240"/>
      </w:pPr>
      <w:r>
        <w:rPr>
          <w:b w:val="0"/>
        </w:rPr>
        <w:t>☐ Map the new debt structure and check whether secured debt changes notching.</w:t>
      </w:r>
    </w:p>
    <w:p>
      <w:pPr>
        <w:spacing w:after="60"/>
        <w:ind w:left="240"/>
      </w:pPr>
      <w:r>
        <w:rPr>
          <w:b w:val="0"/>
        </w:rPr>
        <w:t>☐ Decide whether to ask for a committee to consider a Watch, and prepare that package.</w:t>
      </w:r>
    </w:p>
    <w:p>
      <w:pPr>
        <w:spacing w:after="60"/>
        <w:ind w:left="240"/>
      </w:pPr>
      <w:r>
        <w:rPr>
          <w:b w:val="0"/>
        </w:rPr>
        <w:t>☐ Raise financial policy with management: the leverage target, the deleveraging path, dividends and buybacks.</w:t>
      </w:r>
    </w:p>
    <w:p>
      <w:pPr>
        <w:spacing w:after="60"/>
        <w:ind w:left="240"/>
      </w:pPr>
      <w:r>
        <w:rPr>
          <w:b w:val="0"/>
        </w:rPr>
        <w:t>☐ Draft the release in case the committee acts.</w:t>
      </w:r>
    </w:p>
    <w:p>
      <w:pPr>
        <w:spacing w:after="60"/>
        <w:ind w:left="240"/>
      </w:pPr>
      <w:r>
        <w:rPr>
          <w:b w:val="0"/>
        </w:rPr>
        <w:t>☐ Set a timetable to resolve the Watch, tied to the closing of the deal.</w:t>
      </w:r>
    </w:p>
    <w:p>
      <w:pPr>
        <w:pStyle w:val="Heading2"/>
      </w:pPr>
      <w:r>
        <w:t>Independence and compliance checklist</w:t>
      </w:r>
    </w:p>
    <w:p>
      <w:r>
        <w:rPr>
          <w:b w:val="0"/>
        </w:rPr>
        <w:t>These are the daily rules on the desk (chapters 1 and 14). Rule references are as of 15 October 2026.</w:t>
      </w:r>
    </w:p>
    <w:p>
      <w:pPr>
        <w:spacing w:after="60"/>
        <w:ind w:left="240"/>
      </w:pPr>
      <w:r>
        <w:rPr>
          <w:b w:val="0"/>
        </w:rPr>
        <w:t>☐ Never discuss, negotiate or hear about fees. Send any fee question to the commercial team.</w:t>
      </w:r>
    </w:p>
    <w:p>
      <w:pPr>
        <w:spacing w:after="60"/>
        <w:ind w:left="240"/>
      </w:pPr>
      <w:r>
        <w:rPr>
          <w:b w:val="0"/>
        </w:rPr>
        <w:t>☐ Accept no gifts beyond items given in the course of normal business, such as meetings, with an aggregate value of no more than $25 (SEC Rule 17g-5).</w:t>
      </w:r>
    </w:p>
    <w:p>
      <w:pPr>
        <w:spacing w:after="60"/>
        <w:ind w:left="240"/>
      </w:pPr>
      <w:r>
        <w:rPr>
          <w:b w:val="0"/>
        </w:rPr>
        <w:t>☐ Take no part in sales or marketing, including pitches for new mandates.</w:t>
      </w:r>
    </w:p>
    <w:p>
      <w:pPr>
        <w:spacing w:after="60"/>
        <w:ind w:left="240"/>
      </w:pPr>
      <w:r>
        <w:rPr>
          <w:b w:val="0"/>
        </w:rPr>
        <w:t>☐ Clear personal trades in advance and declare your holdings as compliance requires.</w:t>
      </w:r>
    </w:p>
    <w:p>
      <w:pPr>
        <w:spacing w:after="60"/>
        <w:ind w:left="240"/>
      </w:pPr>
      <w:r>
        <w:rPr>
          <w:b w:val="0"/>
        </w:rPr>
        <w:t>☐ Never tell an issuer, banker or investor what a committee will decide.</w:t>
      </w:r>
    </w:p>
    <w:p>
      <w:pPr>
        <w:spacing w:after="60"/>
        <w:ind w:left="240"/>
      </w:pPr>
      <w:r>
        <w:rPr>
          <w:b w:val="0"/>
        </w:rPr>
        <w:t>☐ Keep confidential issuer information inside the file, shared only with people who need it.</w:t>
      </w:r>
    </w:p>
    <w:p>
      <w:pPr>
        <w:spacing w:after="60"/>
        <w:ind w:left="240"/>
      </w:pPr>
      <w:r>
        <w:rPr>
          <w:b w:val="0"/>
        </w:rPr>
        <w:t>☐ Keep records of meetings, calls and material emails, as your agency's policy requires.</w:t>
      </w:r>
    </w:p>
    <w:p>
      <w:pPr>
        <w:spacing w:after="60"/>
        <w:ind w:left="240"/>
      </w:pPr>
      <w:r>
        <w:rPr>
          <w:b w:val="0"/>
        </w:rPr>
        <w:t>☐ Report any pressure from an issuer to the sector head and the compliance officer the same day.</w:t>
      </w:r>
    </w:p>
    <w:p>
      <w:pPr>
        <w:spacing w:after="60"/>
        <w:ind w:left="240"/>
      </w:pPr>
      <w:r>
        <w:rPr>
          <w:b w:val="0"/>
        </w:rPr>
        <w:t>☐ Accept the rotation of analysts as your agency's rotation mechanism requires.</w:t>
      </w:r>
    </w:p>
    <w:p>
      <w:pPr>
        <w:spacing w:after="60"/>
        <w:ind w:left="240"/>
      </w:pPr>
      <w:r>
        <w:rPr>
          <w:b w:val="0"/>
        </w:rPr>
        <w:t>☐ Tell compliance at once if an issuer or underwriter approaches you about a job. Under the Dodd-Frank Act of 2010, a one-year look-back review checks your ratings if you move to such an employer.</w:t>
      </w:r>
    </w:p>
    <w:p>
      <w:r>
        <w:t>Julian R. Sterling, The Credit Rating Analyst. A working aid, not investment, legal, regulatory or accounting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Credit Rating Analyst: The Rating Analyst's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