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The Relationship Manager's Toolkit</w:t>
      </w:r>
    </w:p>
    <w:p>
      <w:r>
        <w:rPr>
          <w:b w:val="0"/>
        </w:rPr>
        <w:t>These lists are the working tools a new relationship manager should have on their first day in a middle-market team. They follow the order of the book, from the calling list to the first days after a covenant breach. Change them to fit your bank's credit policy and your market. They are general practice, not legal, accounting or regulatory advice. The bank's counsel and the credit officer decide what a document must contain. Where an item comes from the Kessworth case, the chapter that tells that part of the story is named.</w:t>
      </w:r>
    </w:p>
    <w:p>
      <w:pPr>
        <w:pStyle w:val="Heading2"/>
      </w:pPr>
      <w:r>
        <w:t>Prospect research checklist</w:t>
      </w:r>
    </w:p>
    <w:p>
      <w:r>
        <w:rPr>
          <w:b w:val="0"/>
        </w:rPr>
        <w:t>Do this before the first call. Twelve items, about one hour per company.</w:t>
      </w:r>
    </w:p>
    <w:p>
      <w:pPr>
        <w:spacing w:after="60"/>
        <w:ind w:left="240"/>
      </w:pPr>
      <w:r>
        <w:rPr>
          <w:b w:val="0"/>
        </w:rPr>
        <w:t xml:space="preserve">☐ </w:t>
      </w:r>
      <w:r>
        <w:rPr>
          <w:b/>
        </w:rPr>
        <w:t>Size against the house band.</w:t>
      </w:r>
      <w:r>
        <w:rPr>
          <w:b w:val="0"/>
        </w:rPr>
        <w:t xml:space="preserve"> Estimate revenue and check it against your group's band. In the case, Harrowgate's band is roughly $20 million to $250 million of revenue.</w:t>
      </w:r>
    </w:p>
    <w:p>
      <w:pPr>
        <w:spacing w:after="60"/>
        <w:ind w:left="240"/>
      </w:pPr>
      <w:r>
        <w:rPr>
          <w:b w:val="0"/>
        </w:rPr>
        <w:t xml:space="preserve">☐ </w:t>
      </w:r>
      <w:r>
        <w:rPr>
          <w:b/>
        </w:rPr>
        <w:t>Ownership and control.</w:t>
      </w:r>
      <w:r>
        <w:rPr>
          <w:b w:val="0"/>
        </w:rPr>
        <w:t xml:space="preserve"> Find out whether a founder, a family, a private equity sponsor or a management team owns the company, and which person signs.</w:t>
      </w:r>
    </w:p>
    <w:p>
      <w:pPr>
        <w:spacing w:after="60"/>
        <w:ind w:left="240"/>
      </w:pPr>
      <w:r>
        <w:rPr>
          <w:b w:val="0"/>
        </w:rPr>
        <w:t xml:space="preserve">☐ </w:t>
      </w:r>
      <w:r>
        <w:rPr>
          <w:b/>
        </w:rPr>
        <w:t>End markets.</w:t>
      </w:r>
      <w:r>
        <w:rPr>
          <w:b w:val="0"/>
        </w:rPr>
        <w:t xml:space="preserve"> List the customers' industries and how cyclical each one is.</w:t>
      </w:r>
    </w:p>
    <w:p>
      <w:pPr>
        <w:spacing w:after="60"/>
        <w:ind w:left="240"/>
      </w:pPr>
      <w:r>
        <w:rPr>
          <w:b w:val="0"/>
        </w:rPr>
        <w:t xml:space="preserve">☐ </w:t>
      </w:r>
      <w:r>
        <w:rPr>
          <w:b/>
        </w:rPr>
        <w:t>Incumbent bank.</w:t>
      </w:r>
      <w:r>
        <w:rPr>
          <w:b w:val="0"/>
        </w:rPr>
        <w:t xml:space="preserve"> Name the current lender and estimate how long the relationship has lasted. Kessworth had been with the incumbent bank since 2009.</w:t>
      </w:r>
    </w:p>
    <w:p>
      <w:pPr>
        <w:spacing w:after="60"/>
        <w:ind w:left="240"/>
      </w:pPr>
      <w:r>
        <w:rPr>
          <w:b w:val="0"/>
        </w:rPr>
        <w:t xml:space="preserve">☐ </w:t>
      </w:r>
      <w:r>
        <w:rPr>
          <w:b/>
        </w:rPr>
        <w:t>Liens of record.</w:t>
      </w:r>
      <w:r>
        <w:rPr>
          <w:b w:val="0"/>
        </w:rPr>
        <w:t xml:space="preserve"> Run a UCC search to see who holds a security interest and over which assets.</w:t>
      </w:r>
    </w:p>
    <w:p>
      <w:pPr>
        <w:spacing w:after="60"/>
        <w:ind w:left="240"/>
      </w:pPr>
      <w:r>
        <w:rPr>
          <w:b w:val="0"/>
        </w:rPr>
        <w:t xml:space="preserve">☐ </w:t>
      </w:r>
      <w:r>
        <w:rPr>
          <w:b/>
        </w:rPr>
        <w:t>Litigation and judgments.</w:t>
      </w:r>
      <w:r>
        <w:rPr>
          <w:b w:val="0"/>
        </w:rPr>
        <w:t xml:space="preserve"> Do a quick public search for lawsuits, tax liens or regulatory actions.</w:t>
      </w:r>
    </w:p>
    <w:p>
      <w:pPr>
        <w:spacing w:after="60"/>
        <w:ind w:left="240"/>
      </w:pPr>
      <w:r>
        <w:rPr>
          <w:b w:val="0"/>
        </w:rPr>
        <w:t xml:space="preserve">☐ </w:t>
      </w:r>
      <w:r>
        <w:rPr>
          <w:b/>
        </w:rPr>
        <w:t>Management bench.</w:t>
      </w:r>
      <w:r>
        <w:rPr>
          <w:b w:val="0"/>
        </w:rPr>
        <w:t xml:space="preserve"> Note the chief financial officer's background and how long they have been in the job. A CFO recently hired from a larger company is often the one who pushes for a new bank.</w:t>
      </w:r>
    </w:p>
    <w:p>
      <w:pPr>
        <w:spacing w:after="60"/>
        <w:ind w:left="240"/>
      </w:pPr>
      <w:r>
        <w:rPr>
          <w:b w:val="0"/>
        </w:rPr>
        <w:t xml:space="preserve">☐ </w:t>
      </w:r>
      <w:r>
        <w:rPr>
          <w:b/>
        </w:rPr>
        <w:t>Trigger events.</w:t>
      </w:r>
      <w:r>
        <w:rPr>
          <w:b w:val="0"/>
        </w:rPr>
        <w:t xml:space="preserve"> Look for a maturing facility, an acquisition, a new plant, a succession or an owner who has started talking about selling.</w:t>
      </w:r>
    </w:p>
    <w:p>
      <w:pPr>
        <w:spacing w:after="60"/>
        <w:ind w:left="240"/>
      </w:pPr>
      <w:r>
        <w:rPr>
          <w:b w:val="0"/>
        </w:rPr>
        <w:t xml:space="preserve">☐ </w:t>
      </w:r>
      <w:r>
        <w:rPr>
          <w:b/>
        </w:rPr>
        <w:t>Public signals.</w:t>
      </w:r>
      <w:r>
        <w:rPr>
          <w:b w:val="0"/>
        </w:rPr>
        <w:t xml:space="preserve"> Check trade press, hiring, plant expansions, industry awards and lost contracts.</w:t>
      </w:r>
    </w:p>
    <w:p>
      <w:pPr>
        <w:spacing w:after="60"/>
        <w:ind w:left="240"/>
      </w:pPr>
      <w:r>
        <w:rPr>
          <w:b w:val="0"/>
        </w:rPr>
        <w:t xml:space="preserve">☐ </w:t>
      </w:r>
      <w:r>
        <w:rPr>
          <w:b/>
        </w:rPr>
        <w:t>Referral path.</w:t>
      </w:r>
      <w:r>
        <w:rPr>
          <w:b w:val="0"/>
        </w:rPr>
        <w:t xml:space="preserve"> Identify the accountant, attorney, private equity contact or colleague in another line of the bank who can introduce you.</w:t>
      </w:r>
    </w:p>
    <w:p>
      <w:pPr>
        <w:spacing w:after="60"/>
        <w:ind w:left="240"/>
      </w:pPr>
      <w:r>
        <w:rPr>
          <w:b w:val="0"/>
        </w:rPr>
        <w:t xml:space="preserve">☐ </w:t>
      </w:r>
      <w:r>
        <w:rPr>
          <w:b/>
        </w:rPr>
        <w:t>Treasury management footprint.</w:t>
      </w:r>
      <w:r>
        <w:rPr>
          <w:b w:val="0"/>
        </w:rPr>
        <w:t xml:space="preserve"> Make an educated guess at payment volumes, payroll, receivables collection and any international flows.</w:t>
      </w:r>
    </w:p>
    <w:p>
      <w:pPr>
        <w:spacing w:after="60"/>
        <w:ind w:left="240"/>
      </w:pPr>
      <w:r>
        <w:rPr>
          <w:b w:val="0"/>
        </w:rPr>
        <w:t xml:space="preserve">☐ </w:t>
      </w:r>
      <w:r>
        <w:rPr>
          <w:b/>
        </w:rPr>
        <w:t>Fit with appetite and limits.</w:t>
      </w:r>
      <w:r>
        <w:rPr>
          <w:b w:val="0"/>
        </w:rPr>
        <w:t xml:space="preserve"> Check whether a likely request fits credit policy, and whether it would go above the house limit and need a participant.</w:t>
      </w:r>
    </w:p>
    <w:p>
      <w:pPr>
        <w:pStyle w:val="Heading2"/>
      </w:pPr>
      <w:r>
        <w:t>First meeting question list</w:t>
      </w:r>
    </w:p>
    <w:p>
      <w:r>
        <w:rPr>
          <w:b w:val="0"/>
        </w:rPr>
        <w:t>Ask these and then listen. Fifteen questions, never all of them in one meeting.</w:t>
      </w:r>
    </w:p>
    <w:p>
      <w:pPr>
        <w:spacing w:after="60"/>
        <w:ind w:left="240"/>
      </w:pPr>
      <w:r>
        <w:rPr>
          <w:b w:val="0"/>
        </w:rPr>
        <w:t>☐ How did the business start, and what does it do better than its competitors?</w:t>
      </w:r>
    </w:p>
    <w:p>
      <w:pPr>
        <w:spacing w:after="60"/>
        <w:ind w:left="240"/>
      </w:pPr>
      <w:r>
        <w:rPr>
          <w:b w:val="0"/>
        </w:rPr>
        <w:t>☐ Who are your five largest customers, and what share of revenue does each one buy?</w:t>
      </w:r>
    </w:p>
    <w:p>
      <w:pPr>
        <w:spacing w:after="60"/>
        <w:ind w:left="240"/>
      </w:pPr>
      <w:r>
        <w:rPr>
          <w:b w:val="0"/>
        </w:rPr>
        <w:t>☐ How many of those customers could make the product themselves?</w:t>
      </w:r>
    </w:p>
    <w:p>
      <w:pPr>
        <w:spacing w:after="60"/>
        <w:ind w:left="240"/>
      </w:pPr>
      <w:r>
        <w:rPr>
          <w:b w:val="0"/>
        </w:rPr>
        <w:t>☐ What has happened to your margins over the last three years, and why?</w:t>
      </w:r>
    </w:p>
    <w:p>
      <w:pPr>
        <w:spacing w:after="60"/>
        <w:ind w:left="240"/>
      </w:pPr>
      <w:r>
        <w:rPr>
          <w:b w:val="0"/>
        </w:rPr>
        <w:t>☐ Which raw materials matter most, and how do you pass price increases through?</w:t>
      </w:r>
    </w:p>
    <w:p>
      <w:pPr>
        <w:spacing w:after="60"/>
        <w:ind w:left="240"/>
      </w:pPr>
      <w:r>
        <w:rPr>
          <w:b w:val="0"/>
        </w:rPr>
        <w:t>☐ Who owns the company today, and who will own it in ten years?</w:t>
      </w:r>
    </w:p>
    <w:p>
      <w:pPr>
        <w:spacing w:after="60"/>
        <w:ind w:left="240"/>
      </w:pPr>
      <w:r>
        <w:rPr>
          <w:b w:val="0"/>
        </w:rPr>
        <w:t>☐ How are decisions made between the owners, and what happens when they disagree?</w:t>
      </w:r>
    </w:p>
    <w:p>
      <w:pPr>
        <w:spacing w:after="60"/>
        <w:ind w:left="240"/>
      </w:pPr>
      <w:r>
        <w:rPr>
          <w:b w:val="0"/>
        </w:rPr>
        <w:t>☐ What does the CFO do that was not done before the CFO arrived?</w:t>
      </w:r>
    </w:p>
    <w:p>
      <w:pPr>
        <w:spacing w:after="60"/>
        <w:ind w:left="240"/>
      </w:pPr>
      <w:r>
        <w:rPr>
          <w:b w:val="0"/>
        </w:rPr>
        <w:t>☐ What do you plan to spend on equipment and facilities over the next three years?</w:t>
      </w:r>
    </w:p>
    <w:p>
      <w:pPr>
        <w:spacing w:after="60"/>
        <w:ind w:left="240"/>
      </w:pPr>
      <w:r>
        <w:rPr>
          <w:b w:val="0"/>
        </w:rPr>
        <w:t>☐ Are you thinking about acquisitions, and what would a good target look like?</w:t>
      </w:r>
    </w:p>
    <w:p>
      <w:pPr>
        <w:spacing w:after="60"/>
        <w:ind w:left="240"/>
      </w:pPr>
      <w:r>
        <w:rPr>
          <w:b w:val="0"/>
        </w:rPr>
        <w:t>☐ What do you like about your current bank, and what frustrates you?</w:t>
      </w:r>
    </w:p>
    <w:p>
      <w:pPr>
        <w:spacing w:after="60"/>
        <w:ind w:left="240"/>
      </w:pPr>
      <w:r>
        <w:rPr>
          <w:b w:val="0"/>
        </w:rPr>
        <w:t>☐ How do you collect from customers and pay suppliers today?</w:t>
      </w:r>
    </w:p>
    <w:p>
      <w:pPr>
        <w:spacing w:after="60"/>
        <w:ind w:left="240"/>
      </w:pPr>
      <w:r>
        <w:rPr>
          <w:b w:val="0"/>
        </w:rPr>
        <w:t>☐ What do you take out of the business each year, and how do you decide the amount?</w:t>
      </w:r>
    </w:p>
    <w:p>
      <w:pPr>
        <w:spacing w:after="60"/>
        <w:ind w:left="240"/>
      </w:pPr>
      <w:r>
        <w:rPr>
          <w:b w:val="0"/>
        </w:rPr>
        <w:t>☐ What keeps you awake at night about the business?</w:t>
      </w:r>
    </w:p>
    <w:p>
      <w:pPr>
        <w:spacing w:after="60"/>
        <w:ind w:left="240"/>
      </w:pPr>
      <w:r>
        <w:rPr>
          <w:b w:val="0"/>
        </w:rPr>
        <w:t>☐ If we worked together, what would you need from us in the first year?</w:t>
      </w:r>
    </w:p>
    <w:p>
      <w:pPr>
        <w:pStyle w:val="Heading2"/>
      </w:pPr>
      <w:r>
        <w:t>Due diligence request list</w:t>
      </w:r>
    </w:p>
    <w:p>
      <w:r>
        <w:rPr>
          <w:b w:val="0"/>
        </w:rPr>
        <w:t>Fifteen items, each with the reason it matters.</w:t>
      </w:r>
    </w:p>
    <w:p>
      <w:pPr>
        <w:spacing w:after="60"/>
        <w:ind w:left="240"/>
      </w:pPr>
      <w:r>
        <w:rPr>
          <w:b w:val="0"/>
        </w:rPr>
        <w:t xml:space="preserve">☐ </w:t>
      </w:r>
      <w:r>
        <w:rPr>
          <w:b/>
        </w:rPr>
        <w:t>Three years of reviewed or audited financial statements:</w:t>
      </w:r>
      <w:r>
        <w:rPr>
          <w:b w:val="0"/>
        </w:rPr>
        <w:t xml:space="preserve"> the base for the cash flow analysis and the quality of the numbers.</w:t>
      </w:r>
    </w:p>
    <w:p>
      <w:pPr>
        <w:spacing w:after="60"/>
        <w:ind w:left="240"/>
      </w:pPr>
      <w:r>
        <w:rPr>
          <w:b w:val="0"/>
        </w:rPr>
        <w:t xml:space="preserve">☐ </w:t>
      </w:r>
      <w:r>
        <w:rPr>
          <w:b/>
        </w:rPr>
        <w:t>Year-to-date interim statements:</w:t>
      </w:r>
      <w:r>
        <w:rPr>
          <w:b w:val="0"/>
        </w:rPr>
        <w:t xml:space="preserve"> the trend since the last fiscal year.</w:t>
      </w:r>
    </w:p>
    <w:p>
      <w:pPr>
        <w:spacing w:after="60"/>
        <w:ind w:left="240"/>
      </w:pPr>
      <w:r>
        <w:rPr>
          <w:b w:val="0"/>
        </w:rPr>
        <w:t xml:space="preserve">☐ </w:t>
      </w:r>
      <w:r>
        <w:rPr>
          <w:b/>
        </w:rPr>
        <w:t>Management's projections and assumptions:</w:t>
      </w:r>
      <w:r>
        <w:rPr>
          <w:b w:val="0"/>
        </w:rPr>
        <w:t xml:space="preserve"> the starting point for the bank's own downside case.</w:t>
      </w:r>
    </w:p>
    <w:p>
      <w:pPr>
        <w:spacing w:after="60"/>
        <w:ind w:left="240"/>
      </w:pPr>
      <w:r>
        <w:rPr>
          <w:b w:val="0"/>
        </w:rPr>
        <w:t xml:space="preserve">☐ </w:t>
      </w:r>
      <w:r>
        <w:rPr>
          <w:b/>
        </w:rPr>
        <w:t>Receivables aging:</w:t>
      </w:r>
      <w:r>
        <w:rPr>
          <w:b w:val="0"/>
        </w:rPr>
        <w:t xml:space="preserve"> collectability, concentration and eligibility for the borrowing base.</w:t>
      </w:r>
    </w:p>
    <w:p>
      <w:pPr>
        <w:spacing w:after="60"/>
        <w:ind w:left="240"/>
      </w:pPr>
      <w:r>
        <w:rPr>
          <w:b w:val="0"/>
        </w:rPr>
        <w:t xml:space="preserve">☐ </w:t>
      </w:r>
      <w:r>
        <w:rPr>
          <w:b/>
        </w:rPr>
        <w:t>Payables aging:</w:t>
      </w:r>
      <w:r>
        <w:rPr>
          <w:b w:val="0"/>
        </w:rPr>
        <w:t xml:space="preserve"> how the company treats its suppliers, and early stress.</w:t>
      </w:r>
    </w:p>
    <w:p>
      <w:pPr>
        <w:spacing w:after="60"/>
        <w:ind w:left="240"/>
      </w:pPr>
      <w:r>
        <w:rPr>
          <w:b w:val="0"/>
        </w:rPr>
        <w:t xml:space="preserve">☐ </w:t>
      </w:r>
      <w:r>
        <w:rPr>
          <w:b/>
        </w:rPr>
        <w:t>Inventory report by category and age:</w:t>
      </w:r>
      <w:r>
        <w:rPr>
          <w:b w:val="0"/>
        </w:rPr>
        <w:t xml:space="preserve"> obsolete stock and the advance rate.</w:t>
      </w:r>
    </w:p>
    <w:p>
      <w:pPr>
        <w:spacing w:after="60"/>
        <w:ind w:left="240"/>
      </w:pPr>
      <w:r>
        <w:rPr>
          <w:b w:val="0"/>
        </w:rPr>
        <w:t xml:space="preserve">☐ </w:t>
      </w:r>
      <w:r>
        <w:rPr>
          <w:b/>
        </w:rPr>
        <w:t>Customer list by revenue:</w:t>
      </w:r>
      <w:r>
        <w:rPr>
          <w:b w:val="0"/>
        </w:rPr>
        <w:t xml:space="preserve"> concentration, the risk the Kessworth downside case underweighted.</w:t>
      </w:r>
    </w:p>
    <w:p>
      <w:pPr>
        <w:spacing w:after="60"/>
        <w:ind w:left="240"/>
      </w:pPr>
      <w:r>
        <w:rPr>
          <w:b w:val="0"/>
        </w:rPr>
        <w:t xml:space="preserve">☐ </w:t>
      </w:r>
      <w:r>
        <w:rPr>
          <w:b/>
        </w:rPr>
        <w:t>Plant visit and meetings with management:</w:t>
      </w:r>
      <w:r>
        <w:rPr>
          <w:b w:val="0"/>
        </w:rPr>
        <w:t xml:space="preserve"> what the statements cannot show.</w:t>
      </w:r>
    </w:p>
    <w:p>
      <w:pPr>
        <w:spacing w:after="60"/>
        <w:ind w:left="240"/>
      </w:pPr>
      <w:r>
        <w:rPr>
          <w:b w:val="0"/>
        </w:rPr>
        <w:t xml:space="preserve">☐ </w:t>
      </w:r>
      <w:r>
        <w:rPr>
          <w:b/>
        </w:rPr>
        <w:t>Quality of earnings report on any target:</w:t>
      </w:r>
      <w:r>
        <w:rPr>
          <w:b w:val="0"/>
        </w:rPr>
        <w:t xml:space="preserve"> which EBITDA is real and which add-backs are not. In the case, the report was commissioned during diligence and its satisfactory delivery became a condition before closing (chapter 10).</w:t>
      </w:r>
    </w:p>
    <w:p>
      <w:pPr>
        <w:spacing w:after="60"/>
        <w:ind w:left="240"/>
      </w:pPr>
      <w:r>
        <w:rPr>
          <w:b w:val="0"/>
        </w:rPr>
        <w:t xml:space="preserve">☐ </w:t>
      </w:r>
      <w:r>
        <w:rPr>
          <w:b/>
        </w:rPr>
        <w:t>Orderly liquidation value appraisal of machinery and equipment:</w:t>
      </w:r>
      <w:r>
        <w:rPr>
          <w:b w:val="0"/>
        </w:rPr>
        <w:t xml:space="preserve"> the second way out, valued honestly.</w:t>
      </w:r>
    </w:p>
    <w:p>
      <w:pPr>
        <w:spacing w:after="60"/>
        <w:ind w:left="240"/>
      </w:pPr>
      <w:r>
        <w:rPr>
          <w:b w:val="0"/>
        </w:rPr>
        <w:t xml:space="preserve">☐ </w:t>
      </w:r>
      <w:r>
        <w:rPr>
          <w:b/>
        </w:rPr>
        <w:t>Real estate appraisal:</w:t>
      </w:r>
      <w:r>
        <w:rPr>
          <w:b w:val="0"/>
        </w:rPr>
        <w:t xml:space="preserve"> the value of the mortgage collateral.</w:t>
      </w:r>
    </w:p>
    <w:p>
      <w:pPr>
        <w:spacing w:after="60"/>
        <w:ind w:left="240"/>
      </w:pPr>
      <w:r>
        <w:rPr>
          <w:b w:val="0"/>
        </w:rPr>
        <w:t xml:space="preserve">☐ </w:t>
      </w:r>
      <w:r>
        <w:rPr>
          <w:b/>
        </w:rPr>
        <w:t>Lien, judgment and litigation searches:</w:t>
      </w:r>
      <w:r>
        <w:rPr>
          <w:b w:val="0"/>
        </w:rPr>
        <w:t xml:space="preserve"> priority and hidden claims.</w:t>
      </w:r>
    </w:p>
    <w:p>
      <w:pPr>
        <w:spacing w:after="60"/>
        <w:ind w:left="240"/>
      </w:pPr>
      <w:r>
        <w:rPr>
          <w:b w:val="0"/>
        </w:rPr>
        <w:t xml:space="preserve">☐ </w:t>
      </w:r>
      <w:r>
        <w:rPr>
          <w:b/>
        </w:rPr>
        <w:t>Know-your-customer and beneficial ownership checks:</w:t>
      </w:r>
      <w:r>
        <w:rPr>
          <w:b w:val="0"/>
        </w:rPr>
        <w:t xml:space="preserve"> banks still identify and verify the beneficial owners of legal-entity customers under FinCEN's 2016 customer due diligence rule, applicable since 11 May 2018 and still in place as of 2026.</w:t>
      </w:r>
    </w:p>
    <w:p>
      <w:pPr>
        <w:spacing w:after="60"/>
        <w:ind w:left="240"/>
      </w:pPr>
      <w:r>
        <w:rPr>
          <w:b w:val="0"/>
        </w:rPr>
        <w:t xml:space="preserve">☐ </w:t>
      </w:r>
      <w:r>
        <w:rPr>
          <w:b/>
        </w:rPr>
        <w:t>Insurance review:</w:t>
      </w:r>
      <w:r>
        <w:rPr>
          <w:b w:val="0"/>
        </w:rPr>
        <w:t xml:space="preserve"> whether the collateral is insured, with the bank named as loss payee.</w:t>
      </w:r>
    </w:p>
    <w:p>
      <w:pPr>
        <w:spacing w:after="60"/>
        <w:ind w:left="240"/>
      </w:pPr>
      <w:r>
        <w:rPr>
          <w:b w:val="0"/>
        </w:rPr>
        <w:t xml:space="preserve">☐ </w:t>
      </w:r>
      <w:r>
        <w:rPr>
          <w:b/>
        </w:rPr>
        <w:t>Environmental questionnaire for any owned plant:</w:t>
      </w:r>
      <w:r>
        <w:rPr>
          <w:b w:val="0"/>
        </w:rPr>
        <w:t xml:space="preserve"> contamination can make real estate worth less than nothing.</w:t>
      </w:r>
    </w:p>
    <w:p>
      <w:pPr>
        <w:pStyle w:val="Heading2"/>
      </w:pPr>
      <w:r>
        <w:t>Credit memo outline</w:t>
      </w:r>
    </w:p>
    <w:p>
      <w:r>
        <w:rPr>
          <w:b w:val="0"/>
        </w:rPr>
        <w:t>The order a loan committee expects. Write the summary last.</w:t>
      </w:r>
    </w:p>
    <w:p>
      <w:pPr>
        <w:spacing w:after="60"/>
        <w:ind w:left="240"/>
      </w:pPr>
      <w:r>
        <w:rPr>
          <w:b w:val="0"/>
        </w:rPr>
        <w:t>☐ Request and recommendation: amount, facilities, purpose, rating and approval authority.</w:t>
      </w:r>
    </w:p>
    <w:p>
      <w:pPr>
        <w:spacing w:after="60"/>
        <w:ind w:left="240"/>
      </w:pPr>
      <w:r>
        <w:rPr>
          <w:b w:val="0"/>
        </w:rPr>
        <w:t>☐ Executive summary: why we should lend and the main risks, on one page.</w:t>
      </w:r>
    </w:p>
    <w:p>
      <w:pPr>
        <w:spacing w:after="60"/>
        <w:ind w:left="240"/>
      </w:pPr>
      <w:r>
        <w:rPr>
          <w:b w:val="0"/>
        </w:rPr>
        <w:t>☐ Borrower and ownership: history, owners, governance, succession.</w:t>
      </w:r>
    </w:p>
    <w:p>
      <w:pPr>
        <w:spacing w:after="60"/>
        <w:ind w:left="240"/>
      </w:pPr>
      <w:r>
        <w:rPr>
          <w:b w:val="0"/>
        </w:rPr>
        <w:t>☐ Management assessment.</w:t>
      </w:r>
    </w:p>
    <w:p>
      <w:pPr>
        <w:spacing w:after="60"/>
        <w:ind w:left="240"/>
      </w:pPr>
      <w:r>
        <w:rPr>
          <w:b w:val="0"/>
        </w:rPr>
        <w:t>☐ Industry and competitive position.</w:t>
      </w:r>
    </w:p>
    <w:p>
      <w:pPr>
        <w:spacing w:after="60"/>
        <w:ind w:left="240"/>
      </w:pPr>
      <w:r>
        <w:rPr>
          <w:b w:val="0"/>
        </w:rPr>
        <w:t>☐ Transaction description, with sources and uses for an acquisition.</w:t>
      </w:r>
    </w:p>
    <w:p>
      <w:pPr>
        <w:spacing w:after="60"/>
        <w:ind w:left="240"/>
      </w:pPr>
      <w:r>
        <w:rPr>
          <w:b w:val="0"/>
        </w:rPr>
        <w:t>☐ Historical financial analysis: revenue, EBITDA, margin, capital expenditure, distributions.</w:t>
      </w:r>
    </w:p>
    <w:p>
      <w:pPr>
        <w:spacing w:after="60"/>
        <w:ind w:left="240"/>
      </w:pPr>
      <w:r>
        <w:rPr>
          <w:b w:val="0"/>
        </w:rPr>
        <w:t>☐ Repayment capacity: fixed charge coverage, leverage, debt service.</w:t>
      </w:r>
    </w:p>
    <w:p>
      <w:pPr>
        <w:spacing w:after="60"/>
        <w:ind w:left="240"/>
      </w:pPr>
      <w:r>
        <w:rPr>
          <w:b w:val="0"/>
        </w:rPr>
        <w:t>☐ Projections: the management case and the bank downside case, with the assumptions stated.</w:t>
      </w:r>
    </w:p>
    <w:p>
      <w:pPr>
        <w:spacing w:after="60"/>
        <w:ind w:left="240"/>
      </w:pPr>
      <w:r>
        <w:rPr>
          <w:b w:val="0"/>
        </w:rPr>
        <w:t>☐ Structure: facilities, tenor, amortization, pricing grid, fees.</w:t>
      </w:r>
    </w:p>
    <w:p>
      <w:pPr>
        <w:spacing w:after="60"/>
        <w:ind w:left="240"/>
      </w:pPr>
      <w:r>
        <w:rPr>
          <w:b w:val="0"/>
        </w:rPr>
        <w:t>☐ Covenants and cushion against each case.</w:t>
      </w:r>
    </w:p>
    <w:p>
      <w:pPr>
        <w:spacing w:after="60"/>
        <w:ind w:left="240"/>
      </w:pPr>
      <w:r>
        <w:rPr>
          <w:b w:val="0"/>
        </w:rPr>
        <w:t>☐ Collateral, liquidation values and guaranties.</w:t>
      </w:r>
    </w:p>
    <w:p>
      <w:pPr>
        <w:spacing w:after="60"/>
        <w:ind w:left="240"/>
      </w:pPr>
      <w:r>
        <w:rPr>
          <w:b w:val="0"/>
        </w:rPr>
        <w:t>☐ Risks and mitigants, written honestly.</w:t>
      </w:r>
    </w:p>
    <w:p>
      <w:pPr>
        <w:spacing w:after="60"/>
        <w:ind w:left="240"/>
      </w:pPr>
      <w:r>
        <w:rPr>
          <w:b w:val="0"/>
        </w:rPr>
        <w:t>☐ Relationship profitability against the hurdle.</w:t>
      </w:r>
    </w:p>
    <w:p>
      <w:pPr>
        <w:spacing w:after="60"/>
        <w:ind w:left="240"/>
      </w:pPr>
      <w:r>
        <w:rPr>
          <w:b w:val="0"/>
        </w:rPr>
        <w:t>☐ Policy exceptions, conditions of approval and the risk rating rationale.</w:t>
      </w:r>
    </w:p>
    <w:p>
      <w:pPr>
        <w:pStyle w:val="Heading2"/>
      </w:pPr>
      <w:r>
        <w:t>Term sheet checklist</w:t>
      </w:r>
    </w:p>
    <w:p>
      <w:pPr>
        <w:spacing w:after="60"/>
        <w:ind w:left="240"/>
      </w:pPr>
      <w:r>
        <w:rPr>
          <w:b w:val="0"/>
        </w:rPr>
        <w:t>☐ Borrower and guarantors named correctly.</w:t>
      </w:r>
    </w:p>
    <w:p>
      <w:pPr>
        <w:spacing w:after="60"/>
        <w:ind w:left="240"/>
      </w:pPr>
      <w:r>
        <w:rPr>
          <w:b w:val="0"/>
        </w:rPr>
        <w:t>☐ Each facility: amount, type, purpose, tenor, availability.</w:t>
      </w:r>
    </w:p>
    <w:p>
      <w:pPr>
        <w:spacing w:after="60"/>
        <w:ind w:left="240"/>
      </w:pPr>
      <w:r>
        <w:rPr>
          <w:b w:val="0"/>
        </w:rPr>
        <w:t>☐ Borrowing base: eligible assets, advance rates, reporting frequency.</w:t>
      </w:r>
    </w:p>
    <w:p>
      <w:pPr>
        <w:spacing w:after="60"/>
        <w:ind w:left="240"/>
      </w:pPr>
      <w:r>
        <w:rPr>
          <w:b w:val="0"/>
        </w:rPr>
        <w:t>☐ Amortization schedule and balloon.</w:t>
      </w:r>
    </w:p>
    <w:p>
      <w:pPr>
        <w:spacing w:after="60"/>
        <w:ind w:left="240"/>
      </w:pPr>
      <w:r>
        <w:rPr>
          <w:b w:val="0"/>
        </w:rPr>
        <w:t>☐ Pricing: index, margin grid with its leverage steps, interest periods.</w:t>
      </w:r>
    </w:p>
    <w:p>
      <w:pPr>
        <w:spacing w:after="60"/>
        <w:ind w:left="240"/>
      </w:pPr>
      <w:r>
        <w:rPr>
          <w:b w:val="0"/>
        </w:rPr>
        <w:t>☐ Fees: upfront, unused, amendment, swap.</w:t>
      </w:r>
    </w:p>
    <w:p>
      <w:pPr>
        <w:spacing w:after="60"/>
        <w:ind w:left="240"/>
      </w:pPr>
      <w:r>
        <w:rPr>
          <w:b w:val="0"/>
        </w:rPr>
        <w:t>☐ Hedging requirement, if any.</w:t>
      </w:r>
    </w:p>
    <w:p>
      <w:pPr>
        <w:spacing w:after="60"/>
        <w:ind w:left="240"/>
      </w:pPr>
      <w:r>
        <w:rPr>
          <w:b w:val="0"/>
        </w:rPr>
        <w:t>☐ Financial covenants with levels, definitions in outline and test dates.</w:t>
      </w:r>
    </w:p>
    <w:p>
      <w:pPr>
        <w:spacing w:after="60"/>
        <w:ind w:left="240"/>
      </w:pPr>
      <w:r>
        <w:rPr>
          <w:b w:val="0"/>
        </w:rPr>
        <w:t>☐ Negative covenants: distributions, acquisitions, other debt, asset sales.</w:t>
      </w:r>
    </w:p>
    <w:p>
      <w:pPr>
        <w:spacing w:after="60"/>
        <w:ind w:left="240"/>
      </w:pPr>
      <w:r>
        <w:rPr>
          <w:b w:val="0"/>
        </w:rPr>
        <w:t>☐ Reporting: borrowing base certificates, quarterly and annual statements, compliance certificate, deadlines.</w:t>
      </w:r>
    </w:p>
    <w:p>
      <w:pPr>
        <w:spacing w:after="60"/>
        <w:ind w:left="240"/>
      </w:pPr>
      <w:r>
        <w:rPr>
          <w:b w:val="0"/>
        </w:rPr>
        <w:t>☐ Security package and guaranties, including any release conditions.</w:t>
      </w:r>
    </w:p>
    <w:p>
      <w:pPr>
        <w:spacing w:after="60"/>
        <w:ind w:left="240"/>
      </w:pPr>
      <w:r>
        <w:rPr>
          <w:b w:val="0"/>
        </w:rPr>
        <w:t>☐ Treasury management and deposit expectations.</w:t>
      </w:r>
    </w:p>
    <w:p>
      <w:pPr>
        <w:spacing w:after="60"/>
        <w:ind w:left="240"/>
      </w:pPr>
      <w:r>
        <w:rPr>
          <w:b w:val="0"/>
        </w:rPr>
        <w:t>☐ Conditions precedent.</w:t>
      </w:r>
    </w:p>
    <w:p>
      <w:pPr>
        <w:spacing w:after="60"/>
        <w:ind w:left="240"/>
      </w:pPr>
      <w:r>
        <w:rPr>
          <w:b w:val="0"/>
        </w:rPr>
        <w:t>☐ Expenses and who pays the bank's counsel.</w:t>
      </w:r>
    </w:p>
    <w:p>
      <w:pPr>
        <w:spacing w:after="60"/>
        <w:ind w:left="240"/>
      </w:pPr>
      <w:r>
        <w:rPr>
          <w:b w:val="0"/>
        </w:rPr>
        <w:t>☐ Expiry date and a clear statement that the term sheet is subject to credit approval and documentation.</w:t>
      </w:r>
    </w:p>
    <w:p>
      <w:pPr>
        <w:pStyle w:val="Heading2"/>
      </w:pPr>
      <w:r>
        <w:t>Closing checklist</w:t>
      </w:r>
    </w:p>
    <w:p>
      <w:pPr>
        <w:spacing w:after="60"/>
        <w:ind w:left="240"/>
      </w:pPr>
      <w:r>
        <w:rPr>
          <w:b w:val="0"/>
        </w:rPr>
        <w:t>☐ Credit approval conditions met, each one documented.</w:t>
      </w:r>
    </w:p>
    <w:p>
      <w:pPr>
        <w:spacing w:after="60"/>
        <w:ind w:left="240"/>
      </w:pPr>
      <w:r>
        <w:rPr>
          <w:b w:val="0"/>
        </w:rPr>
        <w:t>☐ Loan agreement, notes, security agreement and mortgage in final form, approved by the bank's counsel.</w:t>
      </w:r>
    </w:p>
    <w:p>
      <w:pPr>
        <w:spacing w:after="60"/>
        <w:ind w:left="240"/>
      </w:pPr>
      <w:r>
        <w:rPr>
          <w:b w:val="0"/>
        </w:rPr>
        <w:t>☐ Lien searches brought down to the closing date.</w:t>
      </w:r>
    </w:p>
    <w:p>
      <w:pPr>
        <w:spacing w:after="60"/>
        <w:ind w:left="240"/>
      </w:pPr>
      <w:r>
        <w:rPr>
          <w:b w:val="0"/>
        </w:rPr>
        <w:t>☐ UCC-1 financing statements ready to file in the debtor's state of organization.</w:t>
      </w:r>
    </w:p>
    <w:p>
      <w:pPr>
        <w:spacing w:after="60"/>
        <w:ind w:left="240"/>
      </w:pPr>
      <w:r>
        <w:rPr>
          <w:b w:val="0"/>
        </w:rPr>
        <w:t>☐ Mortgage ready to record where the property sits; title work complete.</w:t>
      </w:r>
    </w:p>
    <w:p>
      <w:pPr>
        <w:spacing w:after="60"/>
        <w:ind w:left="240"/>
      </w:pPr>
      <w:r>
        <w:rPr>
          <w:b w:val="0"/>
        </w:rPr>
        <w:t>☐ Deposit account control agreement signed for the accounts outside the bank.</w:t>
      </w:r>
    </w:p>
    <w:p>
      <w:pPr>
        <w:spacing w:after="60"/>
        <w:ind w:left="240"/>
      </w:pPr>
      <w:r>
        <w:rPr>
          <w:b w:val="0"/>
        </w:rPr>
        <w:t>☐ Guaranties signed.</w:t>
      </w:r>
    </w:p>
    <w:p>
      <w:pPr>
        <w:spacing w:after="60"/>
        <w:ind w:left="240"/>
      </w:pPr>
      <w:r>
        <w:rPr>
          <w:b w:val="0"/>
        </w:rPr>
        <w:t>☐ Insurance certificates with lender endorsements.</w:t>
      </w:r>
    </w:p>
    <w:p>
      <w:pPr>
        <w:spacing w:after="60"/>
        <w:ind w:left="240"/>
      </w:pPr>
      <w:r>
        <w:rPr>
          <w:b w:val="0"/>
        </w:rPr>
        <w:t>☐ Officer's certificate, resolutions, good standing certificates.</w:t>
      </w:r>
    </w:p>
    <w:p>
      <w:pPr>
        <w:spacing w:after="60"/>
        <w:ind w:left="240"/>
      </w:pPr>
      <w:r>
        <w:rPr>
          <w:b w:val="0"/>
        </w:rPr>
        <w:t>☐ Opening borrowing base certificate checked against the agings.</w:t>
      </w:r>
    </w:p>
    <w:p>
      <w:pPr>
        <w:spacing w:after="60"/>
        <w:ind w:left="240"/>
      </w:pPr>
      <w:r>
        <w:rPr>
          <w:b w:val="0"/>
        </w:rPr>
        <w:t>☐ Know-your-customer and beneficial ownership files complete.</w:t>
      </w:r>
    </w:p>
    <w:p>
      <w:pPr>
        <w:spacing w:after="60"/>
        <w:ind w:left="240"/>
      </w:pPr>
      <w:r>
        <w:rPr>
          <w:b w:val="0"/>
        </w:rPr>
        <w:t>☐ Payoff letter from the incumbent bank and lien releases lined up.</w:t>
      </w:r>
    </w:p>
    <w:p>
      <w:pPr>
        <w:spacing w:after="60"/>
        <w:ind w:left="240"/>
      </w:pPr>
      <w:r>
        <w:rPr>
          <w:b w:val="0"/>
        </w:rPr>
        <w:t>☐ Funds flow memo agreed with the borrower, its counsel and operations.</w:t>
      </w:r>
    </w:p>
    <w:p>
      <w:pPr>
        <w:spacing w:after="60"/>
        <w:ind w:left="240"/>
      </w:pPr>
      <w:r>
        <w:rPr>
          <w:b w:val="0"/>
        </w:rPr>
        <w:t>☐ Swap documentation signed, if any.</w:t>
      </w:r>
    </w:p>
    <w:p>
      <w:pPr>
        <w:spacing w:after="60"/>
        <w:ind w:left="240"/>
      </w:pPr>
      <w:r>
        <w:rPr>
          <w:b w:val="0"/>
        </w:rPr>
        <w:t>☐ Treasury management services set up and tested before day one.</w:t>
      </w:r>
    </w:p>
    <w:p>
      <w:pPr>
        <w:pStyle w:val="Heading2"/>
      </w:pPr>
      <w:r>
        <w:t>Annual review checklist</w:t>
      </w:r>
    </w:p>
    <w:p>
      <w:pPr>
        <w:spacing w:after="60"/>
        <w:ind w:left="240"/>
      </w:pPr>
      <w:r>
        <w:rPr>
          <w:b w:val="0"/>
        </w:rPr>
        <w:t>☐ Spread the annual statements and compare them with last year's projections.</w:t>
      </w:r>
    </w:p>
    <w:p>
      <w:pPr>
        <w:spacing w:after="60"/>
        <w:ind w:left="240"/>
      </w:pPr>
      <w:r>
        <w:rPr>
          <w:b w:val="0"/>
        </w:rPr>
        <w:t>☐ Recompute leverage and fixed charge coverage on the agreement's definitions.</w:t>
      </w:r>
    </w:p>
    <w:p>
      <w:pPr>
        <w:spacing w:after="60"/>
        <w:ind w:left="240"/>
      </w:pPr>
      <w:r>
        <w:rPr>
          <w:b w:val="0"/>
        </w:rPr>
        <w:t>☐ Reconcile every compliance certificate of the year.</w:t>
      </w:r>
    </w:p>
    <w:p>
      <w:pPr>
        <w:spacing w:after="60"/>
        <w:ind w:left="240"/>
      </w:pPr>
      <w:r>
        <w:rPr>
          <w:b w:val="0"/>
        </w:rPr>
        <w:t>☐ Update customer concentration and the receivables aging.</w:t>
      </w:r>
    </w:p>
    <w:p>
      <w:pPr>
        <w:spacing w:after="60"/>
        <w:ind w:left="240"/>
      </w:pPr>
      <w:r>
        <w:rPr>
          <w:b w:val="0"/>
        </w:rPr>
        <w:t>☐ Revisit collateral values; order a new appraisal if policy or events require it.</w:t>
      </w:r>
    </w:p>
    <w:p>
      <w:pPr>
        <w:spacing w:after="60"/>
        <w:ind w:left="240"/>
      </w:pPr>
      <w:r>
        <w:rPr>
          <w:b w:val="0"/>
        </w:rPr>
        <w:t>☐ Field exam or borrowing base audit, if due.</w:t>
      </w:r>
    </w:p>
    <w:p>
      <w:pPr>
        <w:spacing w:after="60"/>
        <w:ind w:left="240"/>
      </w:pPr>
      <w:r>
        <w:rPr>
          <w:b w:val="0"/>
        </w:rPr>
        <w:t>☐ Visit the plant and meet the owners, not only the CFO.</w:t>
      </w:r>
    </w:p>
    <w:p>
      <w:pPr>
        <w:spacing w:after="60"/>
        <w:ind w:left="240"/>
      </w:pPr>
      <w:r>
        <w:rPr>
          <w:b w:val="0"/>
        </w:rPr>
        <w:t>☐ Review deposit balances, treasury management usage and relationship profitability.</w:t>
      </w:r>
    </w:p>
    <w:p>
      <w:pPr>
        <w:spacing w:after="60"/>
        <w:ind w:left="240"/>
      </w:pPr>
      <w:r>
        <w:rPr>
          <w:b w:val="0"/>
        </w:rPr>
        <w:t>☐ Confirm or change the risk rating, with written reasons.</w:t>
      </w:r>
    </w:p>
    <w:p>
      <w:pPr>
        <w:spacing w:after="60"/>
        <w:ind w:left="240"/>
      </w:pPr>
      <w:r>
        <w:rPr>
          <w:b w:val="0"/>
        </w:rPr>
        <w:t>☐ Check insurance, guaranties and filings still in force.</w:t>
      </w:r>
    </w:p>
    <w:p>
      <w:pPr>
        <w:spacing w:after="60"/>
        <w:ind w:left="240"/>
      </w:pPr>
      <w:r>
        <w:rPr>
          <w:b w:val="0"/>
        </w:rPr>
        <w:t>☐ Note the client's plans for the coming year and the next request they are likely to make.</w:t>
      </w:r>
    </w:p>
    <w:p>
      <w:pPr>
        <w:pStyle w:val="Heading2"/>
      </w:pPr>
      <w:r>
        <w:t>Early warning signs list</w:t>
      </w:r>
    </w:p>
    <w:p>
      <w:r>
        <w:rPr>
          <w:b w:val="0"/>
        </w:rPr>
        <w:t>Fifteen signs. One is a question; three together is a pattern.</w:t>
      </w:r>
    </w:p>
    <w:p>
      <w:pPr>
        <w:spacing w:after="60"/>
        <w:ind w:left="240"/>
      </w:pPr>
      <w:r>
        <w:rPr>
          <w:b w:val="0"/>
        </w:rPr>
        <w:t>☐ Loss or announced loss of a major customer. At Kessworth, the customer announcement of May 2025 came first.</w:t>
      </w:r>
    </w:p>
    <w:p>
      <w:pPr>
        <w:spacing w:after="60"/>
        <w:ind w:left="240"/>
      </w:pPr>
      <w:r>
        <w:rPr>
          <w:b w:val="0"/>
        </w:rPr>
        <w:t>☐ Revolver usage rising at quarter ends while receivables fall.</w:t>
      </w:r>
    </w:p>
    <w:p>
      <w:pPr>
        <w:spacing w:after="60"/>
        <w:ind w:left="240"/>
      </w:pPr>
      <w:r>
        <w:rPr>
          <w:b w:val="0"/>
        </w:rPr>
        <w:t>☐ Compliance certificates or financial statements arriving late. At Kessworth, the late Q3 2025 certificate came in November 2025, after the downgrade to grade 6, and confirmed it.</w:t>
      </w:r>
    </w:p>
    <w:p>
      <w:pPr>
        <w:spacing w:after="60"/>
        <w:ind w:left="240"/>
      </w:pPr>
      <w:r>
        <w:rPr>
          <w:b w:val="0"/>
        </w:rPr>
        <w:t>☐ Slower payments to suppliers, visible in the payables files or mentioned by the treasury management officer.</w:t>
      </w:r>
    </w:p>
    <w:p>
      <w:pPr>
        <w:spacing w:after="60"/>
        <w:ind w:left="240"/>
      </w:pPr>
      <w:r>
        <w:rPr>
          <w:b w:val="0"/>
        </w:rPr>
        <w:t>☐ Leverage rising quarter after quarter even while the covenant is still met.</w:t>
      </w:r>
    </w:p>
    <w:p>
      <w:pPr>
        <w:spacing w:after="60"/>
        <w:ind w:left="240"/>
      </w:pPr>
      <w:r>
        <w:rPr>
          <w:b w:val="0"/>
        </w:rPr>
        <w:t>☐ Falling gross margin without a clear explanation.</w:t>
      </w:r>
    </w:p>
    <w:p>
      <w:pPr>
        <w:spacing w:after="60"/>
        <w:ind w:left="240"/>
      </w:pPr>
      <w:r>
        <w:rPr>
          <w:b w:val="0"/>
        </w:rPr>
        <w:t>☐ Inventory building faster than sales.</w:t>
      </w:r>
    </w:p>
    <w:p>
      <w:pPr>
        <w:spacing w:after="60"/>
        <w:ind w:left="240"/>
      </w:pPr>
      <w:r>
        <w:rPr>
          <w:b w:val="0"/>
        </w:rPr>
        <w:t>☐ Receivables aging stretching, or a large account sliding into the oldest aging bucket.</w:t>
      </w:r>
    </w:p>
    <w:p>
      <w:pPr>
        <w:spacing w:after="60"/>
        <w:ind w:left="240"/>
      </w:pPr>
      <w:r>
        <w:rPr>
          <w:b w:val="0"/>
        </w:rPr>
        <w:t>☐ A rising number of add-backs to EBITDA.</w:t>
      </w:r>
    </w:p>
    <w:p>
      <w:pPr>
        <w:spacing w:after="60"/>
        <w:ind w:left="240"/>
      </w:pPr>
      <w:r>
        <w:rPr>
          <w:b w:val="0"/>
        </w:rPr>
        <w:t>☐ An integration or system migration running late.</w:t>
      </w:r>
    </w:p>
    <w:p>
      <w:pPr>
        <w:spacing w:after="60"/>
        <w:ind w:left="240"/>
      </w:pPr>
      <w:r>
        <w:rPr>
          <w:b w:val="0"/>
        </w:rPr>
        <w:t>☐ Turnover in the finance function, especially the CFO.</w:t>
      </w:r>
    </w:p>
    <w:p>
      <w:pPr>
        <w:spacing w:after="60"/>
        <w:ind w:left="240"/>
      </w:pPr>
      <w:r>
        <w:rPr>
          <w:b w:val="0"/>
        </w:rPr>
        <w:t>☐ Owners asking for a distribution or a covenant change without a plan behind it.</w:t>
      </w:r>
    </w:p>
    <w:p>
      <w:pPr>
        <w:spacing w:after="60"/>
        <w:ind w:left="240"/>
      </w:pPr>
      <w:r>
        <w:rPr>
          <w:b w:val="0"/>
        </w:rPr>
        <w:t>☐ Overdrafts or returned items on the operating account.</w:t>
      </w:r>
    </w:p>
    <w:p>
      <w:pPr>
        <w:spacing w:after="60"/>
        <w:ind w:left="240"/>
      </w:pPr>
      <w:r>
        <w:rPr>
          <w:b w:val="0"/>
        </w:rPr>
        <w:t>☐ Deposits drifting to another bank.</w:t>
      </w:r>
    </w:p>
    <w:p>
      <w:pPr>
        <w:spacing w:after="60"/>
        <w:ind w:left="240"/>
      </w:pPr>
      <w:r>
        <w:rPr>
          <w:b w:val="0"/>
        </w:rPr>
        <w:t>☐ The owners becoming harder to reach.</w:t>
      </w:r>
    </w:p>
    <w:p>
      <w:pPr>
        <w:pStyle w:val="Heading2"/>
      </w:pPr>
      <w:r>
        <w:t>First steps after a covenant breach</w:t>
      </w:r>
    </w:p>
    <w:p>
      <w:pPr>
        <w:spacing w:after="60"/>
        <w:ind w:left="240"/>
      </w:pPr>
      <w:r>
        <w:rPr>
          <w:b w:val="0"/>
        </w:rPr>
        <w:t>☐ Confirm the numbers yourself from the compliance certificate and the statements before anyone calls it a breach. In the case, the Q4 2025 certificate showed leverage of 3.17x against 3.00x.</w:t>
      </w:r>
    </w:p>
    <w:p>
      <w:pPr>
        <w:spacing w:after="60"/>
        <w:ind w:left="240"/>
      </w:pPr>
      <w:r>
        <w:rPr>
          <w:b w:val="0"/>
        </w:rPr>
        <w:t>☐ Inform the team leader and the credit officer the same day, in writing.</w:t>
      </w:r>
    </w:p>
    <w:p>
      <w:pPr>
        <w:spacing w:after="60"/>
        <w:ind w:left="240"/>
      </w:pPr>
      <w:r>
        <w:rPr>
          <w:b w:val="0"/>
        </w:rPr>
        <w:t>☐ Engage the bank's counsel and the special assets group as policy requires.</w:t>
      </w:r>
    </w:p>
    <w:p>
      <w:pPr>
        <w:spacing w:after="60"/>
        <w:ind w:left="240"/>
      </w:pPr>
      <w:r>
        <w:rPr>
          <w:b w:val="0"/>
        </w:rPr>
        <w:t>☐ Send, or have counsel send, a reservation of rights letter. Do not accelerate on reflex.</w:t>
      </w:r>
    </w:p>
    <w:p>
      <w:pPr>
        <w:spacing w:after="60"/>
        <w:ind w:left="240"/>
      </w:pPr>
      <w:r>
        <w:rPr>
          <w:b w:val="0"/>
        </w:rPr>
        <w:t>☐ Change the risk rating promptly and write down the reasons.</w:t>
      </w:r>
    </w:p>
    <w:p>
      <w:pPr>
        <w:spacing w:after="60"/>
        <w:ind w:left="240"/>
      </w:pPr>
      <w:r>
        <w:rPr>
          <w:b w:val="0"/>
        </w:rPr>
        <w:t>☐ Call the owners yourself before the letter arrives. Explain what the letter means and what it does not.</w:t>
      </w:r>
    </w:p>
    <w:p>
      <w:pPr>
        <w:spacing w:after="60"/>
        <w:ind w:left="240"/>
      </w:pPr>
      <w:r>
        <w:rPr>
          <w:b w:val="0"/>
        </w:rPr>
        <w:t>☐ Request monthly statements, a 13-week cash flow forecast and an updated plan.</w:t>
      </w:r>
    </w:p>
    <w:p>
      <w:pPr>
        <w:spacing w:after="60"/>
        <w:ind w:left="240"/>
      </w:pPr>
      <w:r>
        <w:rPr>
          <w:b w:val="0"/>
        </w:rPr>
        <w:t>☐ Assess collateral coverage against going-concern value.</w:t>
      </w:r>
    </w:p>
    <w:p>
      <w:pPr>
        <w:spacing w:after="60"/>
        <w:ind w:left="240"/>
      </w:pPr>
      <w:r>
        <w:rPr>
          <w:b w:val="0"/>
        </w:rPr>
        <w:t>☐ Agree internally on what the bank needs: equity support, tighter structure, more information, pricing.</w:t>
      </w:r>
    </w:p>
    <w:p>
      <w:pPr>
        <w:spacing w:after="60"/>
        <w:ind w:left="240"/>
      </w:pPr>
      <w:r>
        <w:rPr>
          <w:b w:val="0"/>
        </w:rPr>
        <w:t>☐ Set a timetable for a waiver and amendment decision. Chapter 13 walks through how Kessworth's amendment was negotiated.</w:t>
      </w:r>
    </w:p>
    <w:p>
      <w:r>
        <w:t>Julian R. Sterling, The Commercial Banker. A working aid, not lending, legal, tax, accounting or investment advice.</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Georgia" w:hAnsi="Georgia"/>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Georgia" w:hAnsi="Georgia"/>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Georgia" w:hAnsi="Georgia"/>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Commercial Banker: The Relationship Manager's Toolkit</dc:title>
  <dc:subject/>
  <dc:creator>Julian R. Sterling</dc:creator>
  <cp:keywords/>
  <dc:description>generated by python-docx</dc:description>
  <cp:lastModifiedBy/>
  <cp:revision>1</cp:revision>
  <dcterms:created xsi:type="dcterms:W3CDTF">2013-12-23T23:15:00Z</dcterms:created>
  <dcterms:modified xsi:type="dcterms:W3CDTF">2013-12-23T23:15:00Z</dcterms:modified>
  <cp:category/>
  <dc:language>en-US</dc:language>
</cp:coreProperties>
</file>