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Investment Office Toolkit</w:t>
      </w:r>
    </w:p>
    <w:p>
      <w:r>
        <w:rPr>
          <w:b w:val="0"/>
        </w:rPr>
        <w:t>These checklists are the working lists I would put on the shared drive of any investment office in its first week. They follow the order of the book, and each one points back to the chapter that explains it. Treat them as starting points. Your statute, your board's rules and your own fiduciary counsel come first, and nothing here is legal, actuarial or regulatory advice. Where a case number helps to show what an item looks like in practice, it comes from Ashgrove.</w:t>
      </w:r>
    </w:p>
    <w:p>
      <w:pPr>
        <w:pStyle w:val="Heading2"/>
      </w:pPr>
      <w:r>
        <w:t>Investment policy statement contents</w:t>
      </w:r>
    </w:p>
    <w:p>
      <w:r>
        <w:rPr>
          <w:b w:val="0"/>
        </w:rPr>
        <w:t>Chapter 3 explains why the investment policy statement is the document every other decision answers to. A complete one covers:</w:t>
      </w:r>
    </w:p>
    <w:p>
      <w:pPr>
        <w:spacing w:after="60"/>
        <w:ind w:left="240"/>
      </w:pPr>
      <w:r>
        <w:rPr>
          <w:b w:val="0"/>
        </w:rPr>
        <w:t>☐ The legal basis: the statute or charter, the fiduciary standard that applies and the bodies it binds.</w:t>
      </w:r>
    </w:p>
    <w:p>
      <w:pPr>
        <w:spacing w:after="60"/>
        <w:ind w:left="240"/>
      </w:pPr>
      <w:r>
        <w:rPr>
          <w:b w:val="0"/>
        </w:rPr>
        <w:t>☐ The purpose of the fund and the beneficiaries it serves.</w:t>
      </w:r>
    </w:p>
    <w:p>
      <w:pPr>
        <w:spacing w:after="60"/>
        <w:ind w:left="240"/>
      </w:pPr>
      <w:r>
        <w:rPr>
          <w:b w:val="0"/>
        </w:rPr>
        <w:t>☐ Roles and responsibilities of the board, the investment committee, the CIO, staff, the general consultant, specialist consultants, the actuary, the custodian and fiduciary counsel.</w:t>
      </w:r>
    </w:p>
    <w:p>
      <w:pPr>
        <w:spacing w:after="60"/>
        <w:ind w:left="240"/>
      </w:pPr>
      <w:r>
        <w:rPr>
          <w:b w:val="0"/>
        </w:rPr>
        <w:t>☐ Delegated authority with dollar limits. At Ashgrove these are up to $1.0 billion per manager in public markets and $400 million per fund commitment in private markets.</w:t>
      </w:r>
    </w:p>
    <w:p>
      <w:pPr>
        <w:spacing w:after="60"/>
        <w:ind w:left="240"/>
      </w:pPr>
      <w:r>
        <w:rPr>
          <w:b w:val="0"/>
        </w:rPr>
        <w:t>☐ Investment objectives: the assumed return, the risk tolerance and the horizon.</w:t>
      </w:r>
    </w:p>
    <w:p>
      <w:pPr>
        <w:spacing w:after="60"/>
        <w:ind w:left="240"/>
      </w:pPr>
      <w:r>
        <w:rPr>
          <w:b w:val="0"/>
        </w:rPr>
        <w:t>☐ The policy portfolio, with a target and a range for each asset class.</w:t>
      </w:r>
    </w:p>
    <w:p>
      <w:pPr>
        <w:spacing w:after="60"/>
        <w:ind w:left="240"/>
      </w:pPr>
      <w:r>
        <w:rPr>
          <w:b w:val="0"/>
        </w:rPr>
        <w:t>☐ The policy benchmark and the benchmark for each asset class, with any lags or premiums written out.</w:t>
      </w:r>
    </w:p>
    <w:p>
      <w:pPr>
        <w:spacing w:after="60"/>
        <w:ind w:left="240"/>
      </w:pPr>
      <w:r>
        <w:rPr>
          <w:b w:val="0"/>
        </w:rPr>
        <w:t>☐ Risk limits: the active risk budget (at Ashgrove, total fund tracking error of no more than 2.0 percent a year), concentration, leverage and permitted derivatives.</w:t>
      </w:r>
    </w:p>
    <w:p>
      <w:pPr>
        <w:spacing w:after="60"/>
        <w:ind w:left="240"/>
      </w:pPr>
      <w:r>
        <w:rPr>
          <w:b w:val="0"/>
        </w:rPr>
        <w:t>☐ The rebalancing rule: when it triggers, who acts and which instruments may be used.</w:t>
      </w:r>
    </w:p>
    <w:p>
      <w:pPr>
        <w:spacing w:after="60"/>
        <w:ind w:left="240"/>
      </w:pPr>
      <w:r>
        <w:rPr>
          <w:b w:val="0"/>
        </w:rPr>
        <w:t>☐ The liquidity policy: the minimum coverage ratio (at Ashgrove, 3.0x) and how often the stress test runs.</w:t>
      </w:r>
    </w:p>
    <w:p>
      <w:pPr>
        <w:spacing w:after="60"/>
        <w:ind w:left="240"/>
      </w:pPr>
      <w:r>
        <w:rPr>
          <w:b w:val="0"/>
        </w:rPr>
        <w:t>☐ The private markets pacing rule, including how the fund treats a weight breach caused by the denominator effect.</w:t>
      </w:r>
    </w:p>
    <w:p>
      <w:pPr>
        <w:spacing w:after="60"/>
        <w:ind w:left="240"/>
      </w:pPr>
      <w:r>
        <w:rPr>
          <w:b w:val="0"/>
        </w:rPr>
        <w:t>☐ Procedures for selecting, monitoring, placing managers on the watch list and terminating them.</w:t>
      </w:r>
    </w:p>
    <w:p>
      <w:pPr>
        <w:spacing w:after="60"/>
        <w:ind w:left="240"/>
      </w:pPr>
      <w:r>
        <w:rPr>
          <w:b w:val="0"/>
        </w:rPr>
        <w:t>☐ Capital market assumptions: who builds them, who approves them and how often they are reviewed.</w:t>
      </w:r>
    </w:p>
    <w:p>
      <w:pPr>
        <w:spacing w:after="60"/>
        <w:ind w:left="240"/>
      </w:pPr>
      <w:r>
        <w:rPr>
          <w:b w:val="0"/>
        </w:rPr>
        <w:t>☐ Policies on fees, costs, conflicts of interest, gifts and the use of placement agents.</w:t>
      </w:r>
    </w:p>
    <w:p>
      <w:pPr>
        <w:spacing w:after="60"/>
        <w:ind w:left="240"/>
      </w:pPr>
      <w:r>
        <w:rPr>
          <w:b w:val="0"/>
        </w:rPr>
        <w:t>☐ The reporting calendar and the date the statement itself next comes up for review.</w:t>
      </w:r>
    </w:p>
    <w:p>
      <w:pPr>
        <w:pStyle w:val="Heading2"/>
      </w:pPr>
      <w:r>
        <w:t>Capital market assumptions review checklist</w:t>
      </w:r>
    </w:p>
    <w:p>
      <w:r>
        <w:rPr>
          <w:b w:val="0"/>
        </w:rPr>
        <w:t>Chapter 4 builds the assumptions. Before they go to the committee, check that:</w:t>
      </w:r>
    </w:p>
    <w:p>
      <w:pPr>
        <w:spacing w:after="60"/>
        <w:ind w:left="240"/>
      </w:pPr>
      <w:r>
        <w:rPr>
          <w:b w:val="0"/>
        </w:rPr>
        <w:t>☐ The horizon is stated and matches the horizon of the policy decision (ten years in the Ashgrove study).</w:t>
      </w:r>
    </w:p>
    <w:p>
      <w:pPr>
        <w:spacing w:after="60"/>
        <w:ind w:left="240"/>
      </w:pPr>
      <w:r>
        <w:rPr>
          <w:b w:val="0"/>
        </w:rPr>
        <w:t>☐ The building blocks (cash, inflation, yields, risk premiums) are documented for each asset class.</w:t>
      </w:r>
    </w:p>
    <w:p>
      <w:pPr>
        <w:spacing w:after="60"/>
        <w:ind w:left="240"/>
      </w:pPr>
      <w:r>
        <w:rPr>
          <w:b w:val="0"/>
        </w:rPr>
        <w:t>☐ The document states whether returns are net or gross of fees, and the answer matches the fee schedule used elsewhere.</w:t>
      </w:r>
    </w:p>
    <w:p>
      <w:pPr>
        <w:spacing w:after="60"/>
        <w:ind w:left="240"/>
      </w:pPr>
      <w:r>
        <w:rPr>
          <w:b w:val="0"/>
        </w:rPr>
        <w:t>☐ Arithmetic and geometric returns are both labeled, and the board is shown the geometric one.</w:t>
      </w:r>
    </w:p>
    <w:p>
      <w:pPr>
        <w:spacing w:after="60"/>
        <w:ind w:left="240"/>
      </w:pPr>
      <w:r>
        <w:rPr>
          <w:b w:val="0"/>
        </w:rPr>
        <w:t>☐ Volatility for private markets is not taken at face value from smoothed appraisal-based returns.</w:t>
      </w:r>
    </w:p>
    <w:p>
      <w:pPr>
        <w:spacing w:after="60"/>
        <w:ind w:left="240"/>
      </w:pPr>
      <w:r>
        <w:rPr>
          <w:b w:val="0"/>
        </w:rPr>
        <w:t>☐ Correlations have been looked at under stress, when they tend to move toward one, and not only on average.</w:t>
      </w:r>
    </w:p>
    <w:p>
      <w:pPr>
        <w:spacing w:after="60"/>
        <w:ind w:left="240"/>
      </w:pPr>
      <w:r>
        <w:rPr>
          <w:b w:val="0"/>
        </w:rPr>
        <w:t>☐ The set has been compared with several published assumption sets, and each material difference is explained in writing.</w:t>
      </w:r>
    </w:p>
    <w:p>
      <w:pPr>
        <w:spacing w:after="60"/>
        <w:ind w:left="240"/>
      </w:pPr>
      <w:r>
        <w:rPr>
          <w:b w:val="0"/>
        </w:rPr>
        <w:t>☐ Changes from last year come from changes in the inputs, not from the answer someone hoped to reach.</w:t>
      </w:r>
    </w:p>
    <w:p>
      <w:pPr>
        <w:spacing w:after="60"/>
        <w:ind w:left="240"/>
      </w:pPr>
      <w:r>
        <w:rPr>
          <w:b w:val="0"/>
        </w:rPr>
        <w:t>☐ The policy has been rerun with less favorable inputs, for example a lower private equity return, to see which decisions depend on a single number.</w:t>
      </w:r>
    </w:p>
    <w:p>
      <w:pPr>
        <w:spacing w:after="60"/>
        <w:ind w:left="240"/>
      </w:pPr>
      <w:r>
        <w:rPr>
          <w:b w:val="0"/>
        </w:rPr>
        <w:t>☐ The investment committee's approval is recorded in the minutes.</w:t>
      </w:r>
    </w:p>
    <w:p>
      <w:pPr>
        <w:pStyle w:val="Heading2"/>
      </w:pPr>
      <w:r>
        <w:t>Asset-liability study checklist</w:t>
      </w:r>
    </w:p>
    <w:p>
      <w:r>
        <w:rPr>
          <w:b w:val="0"/>
        </w:rPr>
        <w:t>Chapter 6 runs the study. A complete one does the following:</w:t>
      </w:r>
    </w:p>
    <w:p>
      <w:pPr>
        <w:spacing w:after="60"/>
        <w:ind w:left="240"/>
      </w:pPr>
      <w:r>
        <w:rPr>
          <w:b w:val="0"/>
        </w:rPr>
        <w:t>☐ Starts from the actuary's valuation data at a stated date: assets, liability and funded ratio.</w:t>
      </w:r>
    </w:p>
    <w:p>
      <w:pPr>
        <w:spacing w:after="60"/>
        <w:ind w:left="240"/>
      </w:pPr>
      <w:r>
        <w:rPr>
          <w:b w:val="0"/>
        </w:rPr>
        <w:t>☐ Projects benefits, contributions and the net cash flow (at Ashgrove in FY2026, a net outflow of about $325 million).</w:t>
      </w:r>
    </w:p>
    <w:p>
      <w:pPr>
        <w:spacing w:after="60"/>
        <w:ind w:left="240"/>
      </w:pPr>
      <w:r>
        <w:rPr>
          <w:b w:val="0"/>
        </w:rPr>
        <w:t>☐ Models the funding policy as written and lists its simplifications, such as missing asset smoothing and contribution rate collars.</w:t>
      </w:r>
    </w:p>
    <w:p>
      <w:pPr>
        <w:spacing w:after="60"/>
        <w:ind w:left="240"/>
      </w:pPr>
      <w:r>
        <w:rPr>
          <w:b w:val="0"/>
        </w:rPr>
        <w:t>☐ Shows the effect of an alternative discount rate. At 6.75 percent, the actuary's estimate puts Ashgrove's liability at $34.1 billion and its funded ratio at 77.0 percent.</w:t>
      </w:r>
    </w:p>
    <w:p>
      <w:pPr>
        <w:spacing w:after="60"/>
        <w:ind w:left="240"/>
      </w:pPr>
      <w:r>
        <w:rPr>
          <w:b w:val="0"/>
        </w:rPr>
        <w:t>☐ Tests a small number of candidate policies that the fund could actually implement.</w:t>
      </w:r>
    </w:p>
    <w:p>
      <w:pPr>
        <w:spacing w:after="60"/>
        <w:ind w:left="240"/>
      </w:pPr>
      <w:r>
        <w:rPr>
          <w:b w:val="0"/>
        </w:rPr>
        <w:t>☐ Runs a deterministic projection first, so the board sees the base case before the distribution.</w:t>
      </w:r>
    </w:p>
    <w:p>
      <w:pPr>
        <w:spacing w:after="60"/>
        <w:ind w:left="240"/>
      </w:pPr>
      <w:r>
        <w:rPr>
          <w:b w:val="0"/>
        </w:rPr>
        <w:t>☐ Documents the Monte Carlo design: the number of paths, the horizon and the return distribution.</w:t>
      </w:r>
    </w:p>
    <w:p>
      <w:pPr>
        <w:spacing w:after="60"/>
        <w:ind w:left="240"/>
      </w:pPr>
      <w:r>
        <w:rPr>
          <w:b w:val="0"/>
        </w:rPr>
        <w:t>☐ Reports funded ratio percentiles, the probability of breaching a floor and the probability of reaching a goal.</w:t>
      </w:r>
    </w:p>
    <w:p>
      <w:pPr>
        <w:spacing w:after="60"/>
        <w:ind w:left="240"/>
      </w:pPr>
      <w:r>
        <w:rPr>
          <w:b w:val="0"/>
        </w:rPr>
        <w:t>☐ Reports contribution risk as the highest annual contribution on the median path and at the 95th percentile.</w:t>
      </w:r>
    </w:p>
    <w:p>
      <w:pPr>
        <w:spacing w:after="60"/>
        <w:ind w:left="240"/>
      </w:pPr>
      <w:r>
        <w:rPr>
          <w:b w:val="0"/>
        </w:rPr>
        <w:t>☐ Measures economic interest rate risk even where accounting hides it (Ashgrove's hedge ratio is about 9 percent).</w:t>
      </w:r>
    </w:p>
    <w:p>
      <w:pPr>
        <w:spacing w:after="60"/>
        <w:ind w:left="240"/>
      </w:pPr>
      <w:r>
        <w:rPr>
          <w:b w:val="0"/>
        </w:rPr>
        <w:t>☐ Checks that each candidate policy fits the liquidity budget and the commitment pacing.</w:t>
      </w:r>
    </w:p>
    <w:p>
      <w:pPr>
        <w:spacing w:after="60"/>
        <w:ind w:left="240"/>
      </w:pPr>
      <w:r>
        <w:rPr>
          <w:b w:val="0"/>
        </w:rPr>
        <w:t>☐ Lists the limits of the model in writing and sets the date of the next study (three to five years at Ashgrove).</w:t>
      </w:r>
    </w:p>
    <w:p>
      <w:pPr>
        <w:pStyle w:val="Heading2"/>
      </w:pPr>
      <w:r>
        <w:t>Manager search checklist and request for proposal topics</w:t>
      </w:r>
    </w:p>
    <w:p>
      <w:r>
        <w:rPr>
          <w:b w:val="0"/>
        </w:rPr>
        <w:t>Chapter 10 walks through a full search. The process items come first, then the topics for the request for proposal.</w:t>
      </w:r>
    </w:p>
    <w:p>
      <w:pPr>
        <w:pStyle w:val="Heading3"/>
      </w:pPr>
      <w:r>
        <w:t>Process</w:t>
      </w:r>
    </w:p>
    <w:p>
      <w:pPr>
        <w:spacing w:after="60"/>
        <w:ind w:left="240"/>
      </w:pPr>
      <w:r>
        <w:rPr>
          <w:b w:val="0"/>
        </w:rPr>
        <w:t>☐ Define the mandate: size, benchmark, role in the lineup and share of the active risk budget.</w:t>
      </w:r>
    </w:p>
    <w:p>
      <w:pPr>
        <w:spacing w:after="60"/>
        <w:ind w:left="240"/>
      </w:pPr>
      <w:r>
        <w:rPr>
          <w:b w:val="0"/>
        </w:rPr>
        <w:t>☐ Confirm who has authority to make the hire, the CIO under delegation or the investment committee.</w:t>
      </w:r>
    </w:p>
    <w:p>
      <w:pPr>
        <w:spacing w:after="60"/>
        <w:ind w:left="240"/>
      </w:pPr>
      <w:r>
        <w:rPr>
          <w:b w:val="0"/>
        </w:rPr>
        <w:t>☐ Write the screening criteria before running the screen. Ashgrove's required a track record of at least seven years and also looked at assets, fees and style consistency.</w:t>
      </w:r>
    </w:p>
    <w:p>
      <w:pPr>
        <w:spacing w:after="60"/>
        <w:ind w:left="240"/>
      </w:pPr>
      <w:r>
        <w:rPr>
          <w:b w:val="0"/>
        </w:rPr>
        <w:t>☐ Check the database results for survivorship bias and backfilled returns.</w:t>
      </w:r>
    </w:p>
    <w:p>
      <w:pPr>
        <w:spacing w:after="60"/>
        <w:ind w:left="240"/>
      </w:pPr>
      <w:r>
        <w:rPr>
          <w:b w:val="0"/>
        </w:rPr>
        <w:t>☐ Document each stage of the funnel. Ashgrove's small-cap search ran 146, 31, 11, 4, 1.</w:t>
      </w:r>
    </w:p>
    <w:p>
      <w:pPr>
        <w:spacing w:after="60"/>
        <w:ind w:left="240"/>
      </w:pPr>
      <w:r>
        <w:rPr>
          <w:b w:val="0"/>
        </w:rPr>
        <w:t>☐ Collect conflict disclosures from staff and from the consultant.</w:t>
      </w:r>
    </w:p>
    <w:p>
      <w:pPr>
        <w:spacing w:after="60"/>
        <w:ind w:left="240"/>
      </w:pPr>
      <w:r>
        <w:rPr>
          <w:b w:val="0"/>
        </w:rPr>
        <w:t>☐ Visit every finalist on site, with staff and the consultant together.</w:t>
      </w:r>
    </w:p>
    <w:p>
      <w:pPr>
        <w:spacing w:after="60"/>
        <w:ind w:left="240"/>
      </w:pPr>
      <w:r>
        <w:rPr>
          <w:b w:val="0"/>
        </w:rPr>
        <w:t>☐ Calculate the expected net excess return, the information ratio after the fee and the probability of trailing the index. Ashgrove's estimate was 22 percent over five years.</w:t>
      </w:r>
    </w:p>
    <w:p>
      <w:pPr>
        <w:pStyle w:val="Heading3"/>
      </w:pPr>
      <w:r>
        <w:t>Request for proposal topics</w:t>
      </w:r>
    </w:p>
    <w:p>
      <w:pPr>
        <w:spacing w:after="60"/>
        <w:ind w:left="240"/>
      </w:pPr>
      <w:r>
        <w:rPr>
          <w:b w:val="0"/>
        </w:rPr>
        <w:t>☐ Firm ownership, history and financial health.</w:t>
      </w:r>
    </w:p>
    <w:p>
      <w:pPr>
        <w:spacing w:after="60"/>
        <w:ind w:left="240"/>
      </w:pPr>
      <w:r>
        <w:rPr>
          <w:b w:val="0"/>
        </w:rPr>
        <w:t>☐ Assets in the strategy, capacity and any plan to close it to new money.</w:t>
      </w:r>
    </w:p>
    <w:p>
      <w:pPr>
        <w:spacing w:after="60"/>
        <w:ind w:left="240"/>
      </w:pPr>
      <w:r>
        <w:rPr>
          <w:b w:val="0"/>
        </w:rPr>
        <w:t>☐ The team: who makes decisions, tenure, succession and key person provisions.</w:t>
      </w:r>
    </w:p>
    <w:p>
      <w:pPr>
        <w:spacing w:after="60"/>
        <w:ind w:left="240"/>
      </w:pPr>
      <w:r>
        <w:rPr>
          <w:b w:val="0"/>
        </w:rPr>
        <w:t>☐ Investment philosophy, process and sell discipline.</w:t>
      </w:r>
    </w:p>
    <w:p>
      <w:pPr>
        <w:spacing w:after="60"/>
        <w:ind w:left="240"/>
      </w:pPr>
      <w:r>
        <w:rPr>
          <w:b w:val="0"/>
        </w:rPr>
        <w:t>☐ Risk management, internal limits and style consistency.</w:t>
      </w:r>
    </w:p>
    <w:p>
      <w:pPr>
        <w:spacing w:after="60"/>
        <w:ind w:left="240"/>
      </w:pPr>
      <w:r>
        <w:rPr>
          <w:b w:val="0"/>
        </w:rPr>
        <w:t>☐ How the performance record is built and who verifies it.</w:t>
      </w:r>
    </w:p>
    <w:p>
      <w:pPr>
        <w:spacing w:after="60"/>
        <w:ind w:left="240"/>
      </w:pPr>
      <w:r>
        <w:rPr>
          <w:b w:val="0"/>
        </w:rPr>
        <w:t>☐ Fees, breakpoints and most-favored-nation terms.</w:t>
      </w:r>
    </w:p>
    <w:p>
      <w:pPr>
        <w:spacing w:after="60"/>
        <w:ind w:left="240"/>
      </w:pPr>
      <w:r>
        <w:rPr>
          <w:b w:val="0"/>
        </w:rPr>
        <w:t>☐ Vehicle: separate account or commingled fund, plus custody arrangements.</w:t>
      </w:r>
    </w:p>
    <w:p>
      <w:pPr>
        <w:spacing w:after="60"/>
        <w:ind w:left="240"/>
      </w:pPr>
      <w:r>
        <w:rPr>
          <w:b w:val="0"/>
        </w:rPr>
        <w:t>☐ Operations, trading, valuation and cybersecurity.</w:t>
      </w:r>
    </w:p>
    <w:p>
      <w:pPr>
        <w:spacing w:after="60"/>
        <w:ind w:left="240"/>
      </w:pPr>
      <w:r>
        <w:rPr>
          <w:b w:val="0"/>
        </w:rPr>
        <w:t>☐ Compliance history, regulatory actions and litigation.</w:t>
      </w:r>
    </w:p>
    <w:p>
      <w:pPr>
        <w:spacing w:after="60"/>
        <w:ind w:left="240"/>
      </w:pPr>
      <w:r>
        <w:rPr>
          <w:b w:val="0"/>
        </w:rPr>
        <w:t>☐ Reporting: transparency of holdings and how often reports arrive.</w:t>
      </w:r>
    </w:p>
    <w:p>
      <w:pPr>
        <w:spacing w:after="60"/>
        <w:ind w:left="240"/>
      </w:pPr>
      <w:r>
        <w:rPr>
          <w:b w:val="0"/>
        </w:rPr>
        <w:t>☐ Alignment: how the investment team is paid and whether it invests in the strategy.</w:t>
      </w:r>
    </w:p>
    <w:p>
      <w:pPr>
        <w:pStyle w:val="Heading2"/>
      </w:pPr>
      <w:r>
        <w:t>Watch list and termination checklist</w:t>
      </w:r>
    </w:p>
    <w:p>
      <w:r>
        <w:rPr>
          <w:b w:val="0"/>
        </w:rPr>
        <w:t>Chapter 11 tells the Ashgrove fixed income story. For any manager under review:</w:t>
      </w:r>
    </w:p>
    <w:p>
      <w:pPr>
        <w:spacing w:after="60"/>
        <w:ind w:left="240"/>
      </w:pPr>
      <w:r>
        <w:rPr>
          <w:b w:val="0"/>
        </w:rPr>
        <w:t>☐ Check the triggers every quarter: a three-year net excess return below minus 1 percentage point, loss of a key portfolio manager, style drift, organizational change, or a compliance breach.</w:t>
      </w:r>
    </w:p>
    <w:p>
      <w:pPr>
        <w:spacing w:after="60"/>
        <w:ind w:left="240"/>
      </w:pPr>
      <w:r>
        <w:rPr>
          <w:b w:val="0"/>
        </w:rPr>
        <w:t>☐ State in one sentence why the manager is on the list.</w:t>
      </w:r>
    </w:p>
    <w:p>
      <w:pPr>
        <w:spacing w:after="60"/>
        <w:ind w:left="240"/>
      </w:pPr>
      <w:r>
        <w:rPr>
          <w:b w:val="0"/>
        </w:rPr>
        <w:t>☐ Tell the manager and set a decision date. Ashgrove allows up to four quarters.</w:t>
      </w:r>
    </w:p>
    <w:p>
      <w:pPr>
        <w:spacing w:after="60"/>
        <w:ind w:left="240"/>
      </w:pPr>
      <w:r>
        <w:rPr>
          <w:b w:val="0"/>
        </w:rPr>
        <w:t>☐ Separate skill from noise. Even a good manager can be expected to trail its benchmark one time in five over five years.</w:t>
      </w:r>
    </w:p>
    <w:p>
      <w:pPr>
        <w:spacing w:after="60"/>
        <w:ind w:left="240"/>
      </w:pPr>
      <w:r>
        <w:rPr>
          <w:b w:val="0"/>
        </w:rPr>
        <w:t>☐ Retest the original reasons for the hire, not just the recent returns.</w:t>
      </w:r>
    </w:p>
    <w:p>
      <w:pPr>
        <w:spacing w:after="60"/>
        <w:ind w:left="240"/>
      </w:pPr>
      <w:r>
        <w:rPr>
          <w:b w:val="0"/>
        </w:rPr>
        <w:t>☐ Record the general consultant's view next to staff's.</w:t>
      </w:r>
    </w:p>
    <w:p>
      <w:pPr>
        <w:spacing w:after="60"/>
        <w:ind w:left="240"/>
      </w:pPr>
      <w:r>
        <w:rPr>
          <w:b w:val="0"/>
        </w:rPr>
        <w:t>☐ Decide whether to remove the manager from the list, extend the review or terminate.</w:t>
      </w:r>
    </w:p>
    <w:p>
      <w:pPr>
        <w:spacing w:after="60"/>
        <w:ind w:left="240"/>
      </w:pPr>
      <w:r>
        <w:rPr>
          <w:b w:val="0"/>
        </w:rPr>
        <w:t>☐ Plan where the assets go, for example to the internal index portfolio or to another manager.</w:t>
      </w:r>
    </w:p>
    <w:p>
      <w:pPr>
        <w:spacing w:after="60"/>
        <w:ind w:left="240"/>
      </w:pPr>
      <w:r>
        <w:rPr>
          <w:b w:val="0"/>
        </w:rPr>
        <w:t>☐ Appoint a transition manager and estimate the cost. Staff put Ashgrove's at about 0.10 percent of assets moved ($0.9 million).</w:t>
      </w:r>
    </w:p>
    <w:p>
      <w:pPr>
        <w:spacing w:after="60"/>
        <w:ind w:left="240"/>
      </w:pPr>
      <w:r>
        <w:rPr>
          <w:b w:val="0"/>
        </w:rPr>
        <w:t>☐ Report the decision to the board in the next quarterly report, citing the delegated authority used.</w:t>
      </w:r>
    </w:p>
    <w:p>
      <w:pPr>
        <w:pStyle w:val="Heading2"/>
      </w:pPr>
      <w:r>
        <w:t>Quarterly board report checklist</w:t>
      </w:r>
    </w:p>
    <w:p>
      <w:r>
        <w:rPr>
          <w:b w:val="0"/>
        </w:rPr>
        <w:t>Chapter 14 covers how to write for trustees. Each quarterly report should include:</w:t>
      </w:r>
    </w:p>
    <w:p>
      <w:pPr>
        <w:spacing w:after="60"/>
        <w:ind w:left="240"/>
      </w:pPr>
      <w:r>
        <w:rPr>
          <w:b w:val="0"/>
        </w:rPr>
        <w:t>☐ A one-page summary that a trustee can read in five minutes.</w:t>
      </w:r>
    </w:p>
    <w:p>
      <w:pPr>
        <w:spacing w:after="60"/>
        <w:ind w:left="240"/>
      </w:pPr>
      <w:r>
        <w:rPr>
          <w:b w:val="0"/>
        </w:rPr>
        <w:t>☐ The latest funded ratio and its date.</w:t>
      </w:r>
    </w:p>
    <w:p>
      <w:pPr>
        <w:spacing w:after="60"/>
        <w:ind w:left="240"/>
      </w:pPr>
      <w:r>
        <w:rPr>
          <w:b w:val="0"/>
        </w:rPr>
        <w:t>☐ Total fund return against the policy benchmark over 1, 3, 5 and 10 years.</w:t>
      </w:r>
    </w:p>
    <w:p>
      <w:pPr>
        <w:spacing w:after="60"/>
        <w:ind w:left="240"/>
      </w:pPr>
      <w:r>
        <w:rPr>
          <w:b w:val="0"/>
        </w:rPr>
        <w:t>☐ Total fund return against the assumed return.</w:t>
      </w:r>
    </w:p>
    <w:p>
      <w:pPr>
        <w:spacing w:after="60"/>
        <w:ind w:left="240"/>
      </w:pPr>
      <w:r>
        <w:rPr>
          <w:b w:val="0"/>
        </w:rPr>
        <w:t>☐ Each asset class's performance against its benchmark.</w:t>
      </w:r>
    </w:p>
    <w:p>
      <w:pPr>
        <w:spacing w:after="60"/>
        <w:ind w:left="240"/>
      </w:pPr>
      <w:r>
        <w:rPr>
          <w:b w:val="0"/>
        </w:rPr>
        <w:t>☐ Attribution split into allocation and selection, with a plain-language reading.</w:t>
      </w:r>
    </w:p>
    <w:p>
      <w:pPr>
        <w:spacing w:after="60"/>
        <w:ind w:left="240"/>
      </w:pPr>
      <w:r>
        <w:rPr>
          <w:b w:val="0"/>
        </w:rPr>
        <w:t>☐ Tracking error against the budget. At 30 June 2026, Ashgrove had a 2.0 percent limit and an estimate of about 1.3 percent.</w:t>
      </w:r>
    </w:p>
    <w:p>
      <w:pPr>
        <w:spacing w:after="60"/>
        <w:ind w:left="240"/>
      </w:pPr>
      <w:r>
        <w:rPr>
          <w:b w:val="0"/>
        </w:rPr>
        <w:t>☐ The portfolio shown against the 70/30 reference portfolio as a second lens.</w:t>
      </w:r>
    </w:p>
    <w:p>
      <w:pPr>
        <w:spacing w:after="60"/>
        <w:ind w:left="240"/>
      </w:pPr>
      <w:r>
        <w:rPr>
          <w:b w:val="0"/>
        </w:rPr>
        <w:t>☐ The liquidity coverage ratio against its minimum.</w:t>
      </w:r>
    </w:p>
    <w:p>
      <w:pPr>
        <w:spacing w:after="60"/>
        <w:ind w:left="240"/>
      </w:pPr>
      <w:r>
        <w:rPr>
          <w:b w:val="0"/>
        </w:rPr>
        <w:t>☐ Compliance with ranges and limits, with any breach and what was done about it.</w:t>
      </w:r>
    </w:p>
    <w:p>
      <w:pPr>
        <w:spacing w:after="60"/>
        <w:ind w:left="240"/>
      </w:pPr>
      <w:r>
        <w:rPr>
          <w:b w:val="0"/>
        </w:rPr>
        <w:t>☐ The watch list, plus hires and terminations made under delegated authority.</w:t>
      </w:r>
    </w:p>
    <w:p>
      <w:pPr>
        <w:spacing w:after="60"/>
        <w:ind w:left="240"/>
      </w:pPr>
      <w:r>
        <w:rPr>
          <w:b w:val="0"/>
        </w:rPr>
        <w:t>☐ Private markets commitments made in the quarter and progress against the pacing plan.</w:t>
      </w:r>
    </w:p>
    <w:p>
      <w:pPr>
        <w:pStyle w:val="Heading2"/>
      </w:pPr>
      <w:r>
        <w:t>Liquidity stress test steps</w:t>
      </w:r>
    </w:p>
    <w:p>
      <w:r>
        <w:rPr>
          <w:b w:val="0"/>
        </w:rPr>
        <w:t>Chapter 8 runs this test on the new Ashgrove policy. The steps are:</w:t>
      </w:r>
    </w:p>
    <w:p>
      <w:pPr>
        <w:spacing w:after="60"/>
        <w:ind w:left="240"/>
      </w:pPr>
      <w:r>
        <w:rPr>
          <w:b w:val="0"/>
        </w:rPr>
        <w:t>☐ List the liquid assets. At 30 June 2026 Ashgrove held about 68 percent of assets, $17.8 billion, in global public equity, core fixed income and cash.</w:t>
      </w:r>
    </w:p>
    <w:p>
      <w:pPr>
        <w:spacing w:after="60"/>
        <w:ind w:left="240"/>
      </w:pPr>
      <w:r>
        <w:rPr>
          <w:b w:val="0"/>
        </w:rPr>
        <w:t>☐ Apply the market shock. Ashgrove's test assumes public equity falls 30 percent.</w:t>
      </w:r>
    </w:p>
    <w:p>
      <w:pPr>
        <w:spacing w:after="60"/>
        <w:ind w:left="240"/>
      </w:pPr>
      <w:r>
        <w:rPr>
          <w:b w:val="0"/>
        </w:rPr>
        <w:t>☐ Project benefits net of contributions over the test horizon (about $1,022 million over two years at Ashgrove).</w:t>
      </w:r>
    </w:p>
    <w:p>
      <w:pPr>
        <w:spacing w:after="60"/>
        <w:ind w:left="240"/>
      </w:pPr>
      <w:r>
        <w:rPr>
          <w:b w:val="0"/>
        </w:rPr>
        <w:t>☐ Assume a share of unfunded commitments is called. At Ashgrove that is 35 percent of $4.2 billion, or $1.5 billion.</w:t>
      </w:r>
    </w:p>
    <w:p>
      <w:pPr>
        <w:spacing w:after="60"/>
        <w:ind w:left="240"/>
      </w:pPr>
      <w:r>
        <w:rPr>
          <w:b w:val="0"/>
        </w:rPr>
        <w:t>☐ Assume private markets distributions stop for the whole horizon.</w:t>
      </w:r>
    </w:p>
    <w:p>
      <w:pPr>
        <w:spacing w:after="60"/>
        <w:ind w:left="240"/>
      </w:pPr>
      <w:r>
        <w:rPr>
          <w:b w:val="0"/>
        </w:rPr>
        <w:t>☐ Add collateral needs from futures overlays and any other derivatives.</w:t>
      </w:r>
    </w:p>
    <w:p>
      <w:pPr>
        <w:spacing w:after="60"/>
        <w:ind w:left="240"/>
      </w:pPr>
      <w:r>
        <w:rPr>
          <w:b w:val="0"/>
        </w:rPr>
        <w:t>☐ Divide stressed liquid assets by total needs and compare the result with the policy minimum. Ashgrove's stressed liquid assets of $14.3 billion against needs of about $2.5 billion give about 5.7x, against a minimum of 3.0x.</w:t>
      </w:r>
    </w:p>
    <w:p>
      <w:pPr>
        <w:spacing w:after="60"/>
        <w:ind w:left="240"/>
      </w:pPr>
      <w:r>
        <w:rPr>
          <w:b w:val="0"/>
        </w:rPr>
        <w:t>☐ Record what staff would do if the ratio fell below the minimum, run a harsher scenario and report both results to the committee.</w:t>
      </w:r>
    </w:p>
    <w:p>
      <w:r>
        <w:t>Julian R. Sterling, The Asset Owner Investment Officer. A working aid, not legal, actuarial, tax, accounting or investment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Asset Owner Investment Officer: The Investment Office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